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A1857" w14:textId="77777777" w:rsidR="00D4601E" w:rsidRPr="000B7FC1" w:rsidRDefault="00C41F69">
      <w:pPr>
        <w:pStyle w:val="Corps"/>
        <w:spacing w:before="100" w:after="100" w:line="240" w:lineRule="auto"/>
        <w:outlineLvl w:val="0"/>
        <w:rPr>
          <w:rStyle w:val="Aucun"/>
          <w:rFonts w:ascii="Times New Roman" w:hAnsi="Times New Roman" w:cs="Times New Roman"/>
          <w:b/>
          <w:bCs/>
          <w:kern w:val="36"/>
          <w:sz w:val="28"/>
          <w:szCs w:val="28"/>
        </w:rPr>
      </w:pPr>
      <w:r w:rsidRPr="000B7FC1">
        <w:rPr>
          <w:rStyle w:val="Aucun"/>
          <w:rFonts w:ascii="Times New Roman" w:hAnsi="Times New Roman" w:cs="Times New Roman"/>
          <w:b/>
          <w:bCs/>
          <w:kern w:val="36"/>
          <w:sz w:val="28"/>
          <w:szCs w:val="28"/>
        </w:rPr>
        <w:t>From Cautious Certainties to Principled Practice</w:t>
      </w:r>
    </w:p>
    <w:p w14:paraId="7A453284" w14:textId="77777777" w:rsidR="00813C1C" w:rsidRPr="00E93B5A" w:rsidRDefault="00813C1C">
      <w:pPr>
        <w:pStyle w:val="Corps"/>
        <w:spacing w:before="100" w:after="100" w:line="240" w:lineRule="auto"/>
        <w:outlineLvl w:val="0"/>
        <w:rPr>
          <w:rStyle w:val="Aucun"/>
          <w:rFonts w:ascii="Times New Roman" w:hAnsi="Times New Roman" w:cs="Times New Roman"/>
          <w:b/>
          <w:bCs/>
          <w:kern w:val="36"/>
        </w:rPr>
      </w:pPr>
    </w:p>
    <w:p w14:paraId="738A1858" w14:textId="14E9D183" w:rsidR="00D4601E" w:rsidRDefault="00C41F69">
      <w:pPr>
        <w:pStyle w:val="Corps"/>
        <w:spacing w:before="100" w:after="100" w:line="240" w:lineRule="auto"/>
        <w:rPr>
          <w:rStyle w:val="Aucun"/>
          <w:rFonts w:ascii="Times New Roman" w:hAnsi="Times New Roman" w:cs="Times New Roman"/>
          <w:b/>
          <w:bCs/>
          <w:kern w:val="0"/>
          <w:lang w:val="en-GB"/>
        </w:rPr>
      </w:pPr>
      <w:r w:rsidRPr="00E93B5A">
        <w:rPr>
          <w:rStyle w:val="Aucun"/>
          <w:rFonts w:ascii="Times New Roman" w:hAnsi="Times New Roman" w:cs="Times New Roman"/>
          <w:b/>
          <w:bCs/>
          <w:kern w:val="0"/>
        </w:rPr>
        <w:t xml:space="preserve">Gabriel </w:t>
      </w:r>
      <w:proofErr w:type="spellStart"/>
      <w:r w:rsidRPr="00E93B5A">
        <w:rPr>
          <w:rStyle w:val="Aucun"/>
          <w:rFonts w:ascii="Times New Roman" w:hAnsi="Times New Roman" w:cs="Times New Roman"/>
          <w:b/>
          <w:bCs/>
          <w:kern w:val="0"/>
        </w:rPr>
        <w:t>Dí</w:t>
      </w:r>
      <w:r w:rsidRPr="00E93B5A">
        <w:rPr>
          <w:rStyle w:val="Aucun"/>
          <w:rFonts w:ascii="Times New Roman" w:hAnsi="Times New Roman" w:cs="Times New Roman"/>
          <w:b/>
          <w:bCs/>
          <w:kern w:val="0"/>
          <w:lang w:val="en-GB"/>
        </w:rPr>
        <w:t>az</w:t>
      </w:r>
      <w:proofErr w:type="spellEnd"/>
      <w:r w:rsidRPr="00E93B5A">
        <w:rPr>
          <w:rStyle w:val="Aucun"/>
          <w:rFonts w:ascii="Times New Roman" w:hAnsi="Times New Roman" w:cs="Times New Roman"/>
          <w:b/>
          <w:bCs/>
          <w:kern w:val="0"/>
          <w:lang w:val="en-GB"/>
        </w:rPr>
        <w:t xml:space="preserve"> Maggioli</w:t>
      </w:r>
      <w:r w:rsidR="00E93B5A">
        <w:rPr>
          <w:rStyle w:val="Aucun"/>
          <w:rFonts w:ascii="Times New Roman" w:hAnsi="Times New Roman" w:cs="Times New Roman"/>
          <w:b/>
          <w:bCs/>
          <w:kern w:val="0"/>
          <w:lang w:val="en-GB"/>
        </w:rPr>
        <w:t>, Uruguay</w:t>
      </w:r>
    </w:p>
    <w:p w14:paraId="453CDF79" w14:textId="77777777" w:rsidR="000B7FC1" w:rsidRDefault="000B7FC1">
      <w:pPr>
        <w:pStyle w:val="Corps"/>
        <w:spacing w:before="100" w:after="100" w:line="240" w:lineRule="auto"/>
        <w:rPr>
          <w:rStyle w:val="Aucun"/>
          <w:rFonts w:ascii="Times New Roman" w:hAnsi="Times New Roman" w:cs="Times New Roman"/>
          <w:b/>
          <w:bCs/>
          <w:kern w:val="0"/>
          <w:lang w:val="en-GB"/>
        </w:rPr>
      </w:pPr>
    </w:p>
    <w:p w14:paraId="41E06373" w14:textId="0C519533" w:rsidR="000B7FC1" w:rsidRPr="000B7FC1" w:rsidRDefault="000B7FC1" w:rsidP="000B7FC1">
      <w:pPr>
        <w:pStyle w:val="Corps"/>
        <w:spacing w:before="100" w:after="100"/>
        <w:rPr>
          <w:rFonts w:ascii="Times New Roman" w:hAnsi="Times New Roman" w:cs="Times New Roman"/>
          <w:lang w:val="en-GB"/>
        </w:rPr>
      </w:pPr>
      <w:r w:rsidRPr="000B7FC1">
        <w:rPr>
          <w:rFonts w:ascii="Times New Roman" w:hAnsi="Times New Roman" w:cs="Times New Roman"/>
          <w:lang w:val="en-GB"/>
        </w:rPr>
        <w:t>Dr. Gabriel Díaz Maggioli is Professor of Methods (English) at Uruguay’s National Council for Teacher Education and Director of Postgraduate ELT Programs at Universidad ORT Uruguay. A teacher at heart, he has worked as an educator, researcher, consultant, and author across five continents. He is also a past IATEFL President.</w:t>
      </w:r>
      <w:r>
        <w:rPr>
          <w:rFonts w:ascii="Times New Roman" w:hAnsi="Times New Roman" w:cs="Times New Roman"/>
          <w:lang w:val="en-GB"/>
        </w:rPr>
        <w:t xml:space="preserve"> Email: </w:t>
      </w:r>
      <w:hyperlink r:id="rId6" w:tgtFrame="_blank" w:history="1">
        <w:r w:rsidRPr="000B7FC1">
          <w:rPr>
            <w:rStyle w:val="Hyperlink"/>
            <w:rFonts w:ascii="Times New Roman" w:hAnsi="Times New Roman" w:cs="Times New Roman"/>
            <w:u w:val="none"/>
            <w:lang w:val="en-GB"/>
          </w:rPr>
          <w:t>diaz_g@ort.edu.uy</w:t>
        </w:r>
      </w:hyperlink>
    </w:p>
    <w:p w14:paraId="3F950D54" w14:textId="77777777" w:rsidR="000B7FC1" w:rsidRPr="00E93B5A" w:rsidRDefault="000B7FC1">
      <w:pPr>
        <w:pStyle w:val="Corps"/>
        <w:spacing w:before="100" w:after="100" w:line="240" w:lineRule="auto"/>
        <w:rPr>
          <w:rStyle w:val="Aucun"/>
          <w:rFonts w:ascii="Times New Roman" w:hAnsi="Times New Roman" w:cs="Times New Roman"/>
          <w:b/>
          <w:bCs/>
          <w:kern w:val="0"/>
          <w:lang w:val="en-GB"/>
        </w:rPr>
      </w:pPr>
    </w:p>
    <w:p w14:paraId="7DD7BB0F" w14:textId="77777777" w:rsidR="00A208CC" w:rsidRPr="00E93B5A" w:rsidRDefault="00A208CC">
      <w:pPr>
        <w:pStyle w:val="Corps"/>
        <w:spacing w:before="100" w:after="100" w:line="240" w:lineRule="auto"/>
        <w:rPr>
          <w:rStyle w:val="Aucun"/>
          <w:rFonts w:ascii="Times New Roman" w:hAnsi="Times New Roman" w:cs="Times New Roman"/>
          <w:b/>
          <w:bCs/>
          <w:kern w:val="0"/>
          <w:lang w:val="en-GB"/>
        </w:rPr>
      </w:pPr>
    </w:p>
    <w:p w14:paraId="4869D1CC" w14:textId="36315D19" w:rsidR="00A208CC" w:rsidRPr="00E93B5A" w:rsidRDefault="00A208CC">
      <w:pPr>
        <w:pStyle w:val="Corps"/>
        <w:spacing w:before="100" w:after="100" w:line="240" w:lineRule="auto"/>
        <w:rPr>
          <w:rStyle w:val="Aucun"/>
          <w:rFonts w:ascii="Times New Roman" w:hAnsi="Times New Roman" w:cs="Times New Roman"/>
          <w:b/>
          <w:bCs/>
          <w:kern w:val="0"/>
        </w:rPr>
      </w:pPr>
      <w:r w:rsidRPr="00E93B5A">
        <w:rPr>
          <w:rStyle w:val="Aucun"/>
          <w:rFonts w:ascii="Times New Roman" w:hAnsi="Times New Roman" w:cs="Times New Roman"/>
          <w:b/>
          <w:bCs/>
          <w:kern w:val="0"/>
          <w:lang w:val="en-GB"/>
        </w:rPr>
        <w:t xml:space="preserve">                                                  </w:t>
      </w:r>
      <w:r w:rsidRPr="00E93B5A">
        <w:rPr>
          <w:rStyle w:val="Aucun"/>
          <w:rFonts w:ascii="Times New Roman" w:hAnsi="Times New Roman" w:cs="Times New Roman"/>
          <w:b/>
          <w:bCs/>
          <w:noProof/>
          <w:kern w:val="0"/>
          <w:lang w:val="en-GB"/>
        </w:rPr>
        <w:drawing>
          <wp:inline distT="0" distB="0" distL="0" distR="0" wp14:anchorId="69A59E50" wp14:editId="251DDDD0">
            <wp:extent cx="1836000" cy="1836000"/>
            <wp:effectExtent l="0" t="0" r="0" b="0"/>
            <wp:docPr id="151355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6000" cy="1836000"/>
                    </a:xfrm>
                    <a:prstGeom prst="rect">
                      <a:avLst/>
                    </a:prstGeom>
                    <a:noFill/>
                    <a:ln>
                      <a:noFill/>
                    </a:ln>
                  </pic:spPr>
                </pic:pic>
              </a:graphicData>
            </a:graphic>
          </wp:inline>
        </w:drawing>
      </w:r>
    </w:p>
    <w:p w14:paraId="40CBB708" w14:textId="77777777" w:rsidR="00022375" w:rsidRPr="00E93B5A" w:rsidRDefault="00022375">
      <w:pPr>
        <w:pStyle w:val="Corps"/>
        <w:spacing w:before="100" w:after="100" w:line="240" w:lineRule="auto"/>
        <w:rPr>
          <w:rStyle w:val="Aucun"/>
          <w:rFonts w:ascii="Times New Roman" w:hAnsi="Times New Roman" w:cs="Times New Roman"/>
          <w:b/>
          <w:bCs/>
          <w:kern w:val="0"/>
        </w:rPr>
      </w:pPr>
    </w:p>
    <w:p w14:paraId="738A185B" w14:textId="6AA72153" w:rsidR="00D4601E" w:rsidRDefault="00C41F69">
      <w:pPr>
        <w:pStyle w:val="Corps"/>
        <w:spacing w:before="100" w:after="100" w:line="240" w:lineRule="auto"/>
        <w:rPr>
          <w:rStyle w:val="Aucun"/>
          <w:rFonts w:ascii="Times New Roman" w:hAnsi="Times New Roman" w:cs="Times New Roman"/>
          <w:b/>
          <w:bCs/>
          <w:kern w:val="0"/>
        </w:rPr>
      </w:pPr>
      <w:r w:rsidRPr="00E93B5A">
        <w:rPr>
          <w:rStyle w:val="Aucun"/>
          <w:rFonts w:ascii="Times New Roman" w:hAnsi="Times New Roman" w:cs="Times New Roman"/>
          <w:b/>
          <w:bCs/>
          <w:kern w:val="0"/>
        </w:rPr>
        <w:t>Introduction</w:t>
      </w:r>
    </w:p>
    <w:p w14:paraId="738A185C" w14:textId="286003A3"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Teachers of English often ask a deceptively simple question: </w:t>
      </w:r>
      <w:r w:rsidRPr="00E93B5A">
        <w:rPr>
          <w:rStyle w:val="Aucun"/>
          <w:rFonts w:ascii="Times New Roman" w:hAnsi="Times New Roman" w:cs="Times New Roman"/>
          <w:i/>
          <w:iCs/>
          <w:kern w:val="0"/>
        </w:rPr>
        <w:t xml:space="preserve">How do people </w:t>
      </w:r>
      <w:proofErr w:type="gramStart"/>
      <w:r w:rsidRPr="00E93B5A">
        <w:rPr>
          <w:rStyle w:val="Aucun"/>
          <w:rFonts w:ascii="Times New Roman" w:hAnsi="Times New Roman" w:cs="Times New Roman"/>
          <w:i/>
          <w:iCs/>
          <w:kern w:val="0"/>
        </w:rPr>
        <w:t>actually learn</w:t>
      </w:r>
      <w:proofErr w:type="gramEnd"/>
      <w:r w:rsidRPr="00E93B5A">
        <w:rPr>
          <w:rStyle w:val="Aucun"/>
          <w:rFonts w:ascii="Times New Roman" w:hAnsi="Times New Roman" w:cs="Times New Roman"/>
          <w:i/>
          <w:iCs/>
          <w:kern w:val="0"/>
        </w:rPr>
        <w:t xml:space="preserve"> another language?</w:t>
      </w:r>
      <w:r w:rsidRPr="00E93B5A">
        <w:rPr>
          <w:rStyle w:val="Aucun"/>
          <w:rFonts w:ascii="Times New Roman" w:hAnsi="Times New Roman" w:cs="Times New Roman"/>
          <w:kern w:val="0"/>
        </w:rPr>
        <w:t xml:space="preserve"> The truth is, despite decades of research, we still don</w:t>
      </w:r>
      <w:r w:rsidRPr="00E93B5A">
        <w:rPr>
          <w:rStyle w:val="Aucun"/>
          <w:rFonts w:ascii="Times New Roman" w:hAnsi="Times New Roman" w:cs="Times New Roman"/>
          <w:kern w:val="0"/>
          <w:rtl/>
        </w:rPr>
        <w:t>’</w:t>
      </w:r>
      <w:r w:rsidRPr="00E93B5A">
        <w:rPr>
          <w:rStyle w:val="Aucun"/>
          <w:rFonts w:ascii="Times New Roman" w:hAnsi="Times New Roman" w:cs="Times New Roman"/>
          <w:kern w:val="0"/>
        </w:rPr>
        <w:t xml:space="preserve">t fully know. What we do have are what I </w:t>
      </w:r>
      <w:r w:rsidR="00022375" w:rsidRPr="00E93B5A">
        <w:rPr>
          <w:rStyle w:val="Aucun"/>
          <w:rFonts w:ascii="Times New Roman" w:hAnsi="Times New Roman" w:cs="Times New Roman"/>
          <w:kern w:val="0"/>
        </w:rPr>
        <w:t>like to call</w:t>
      </w:r>
      <w:r w:rsidRPr="00E93B5A">
        <w:rPr>
          <w:rStyle w:val="Aucun"/>
          <w:rFonts w:ascii="Times New Roman" w:hAnsi="Times New Roman" w:cs="Times New Roman"/>
          <w:kern w:val="0"/>
        </w:rPr>
        <w:t xml:space="preserve"> </w:t>
      </w:r>
      <w:r w:rsidRPr="00E93B5A">
        <w:rPr>
          <w:rStyle w:val="Aucun"/>
          <w:rFonts w:ascii="Times New Roman" w:hAnsi="Times New Roman" w:cs="Times New Roman"/>
          <w:i/>
          <w:iCs/>
          <w:kern w:val="0"/>
        </w:rPr>
        <w:t>cautious certainties</w:t>
      </w:r>
      <w:r w:rsidRPr="00E93B5A">
        <w:rPr>
          <w:rStyle w:val="Aucun"/>
          <w:rFonts w:ascii="Times New Roman" w:hAnsi="Times New Roman" w:cs="Times New Roman"/>
          <w:kern w:val="0"/>
        </w:rPr>
        <w:t>: insights drawn from research and classroom practice that shed light on the process but remain open to revision.</w:t>
      </w:r>
    </w:p>
    <w:p w14:paraId="738A185D" w14:textId="37B4171F"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This matters because many of us were trained under the banner of </w:t>
      </w:r>
      <w:r w:rsidR="006519BA" w:rsidRPr="00E93B5A">
        <w:rPr>
          <w:rStyle w:val="Aucun"/>
          <w:rFonts w:ascii="Times New Roman" w:hAnsi="Times New Roman" w:cs="Times New Roman"/>
          <w:kern w:val="0"/>
          <w:lang w:val="en-GB"/>
        </w:rPr>
        <w:t>‘</w:t>
      </w:r>
      <w:proofErr w:type="gramStart"/>
      <w:r w:rsidRPr="00E93B5A">
        <w:rPr>
          <w:rStyle w:val="Aucun"/>
          <w:rFonts w:ascii="Times New Roman" w:hAnsi="Times New Roman" w:cs="Times New Roman"/>
          <w:kern w:val="0"/>
        </w:rPr>
        <w:t>methods</w:t>
      </w:r>
      <w:r w:rsidR="006519BA" w:rsidRPr="00E93B5A">
        <w:rPr>
          <w:rStyle w:val="Aucun"/>
          <w:rFonts w:ascii="Times New Roman" w:hAnsi="Times New Roman" w:cs="Times New Roman"/>
          <w:kern w:val="0"/>
        </w:rPr>
        <w:t>’</w:t>
      </w:r>
      <w:proofErr w:type="gramEnd"/>
      <w:r w:rsidR="006519BA" w:rsidRPr="00E93B5A">
        <w:rPr>
          <w:rStyle w:val="Aucun"/>
          <w:rFonts w:ascii="Times New Roman" w:hAnsi="Times New Roman" w:cs="Times New Roman"/>
          <w:kern w:val="0"/>
        </w:rPr>
        <w:t>.</w:t>
      </w:r>
      <w:r w:rsidRPr="00E93B5A">
        <w:rPr>
          <w:rStyle w:val="Aucun"/>
          <w:rFonts w:ascii="Times New Roman" w:hAnsi="Times New Roman" w:cs="Times New Roman"/>
          <w:kern w:val="0"/>
        </w:rPr>
        <w:t xml:space="preserve"> We were told to teach </w:t>
      </w:r>
      <w:r w:rsidR="006519BA" w:rsidRPr="00E93B5A">
        <w:rPr>
          <w:rStyle w:val="Aucun"/>
          <w:rFonts w:ascii="Times New Roman" w:hAnsi="Times New Roman" w:cs="Times New Roman"/>
          <w:kern w:val="0"/>
          <w:lang w:val="en-GB"/>
        </w:rPr>
        <w:t>‘</w:t>
      </w:r>
      <w:r w:rsidRPr="00E93B5A">
        <w:rPr>
          <w:rStyle w:val="Aucun"/>
          <w:rFonts w:ascii="Times New Roman" w:hAnsi="Times New Roman" w:cs="Times New Roman"/>
          <w:kern w:val="0"/>
        </w:rPr>
        <w:t>the communicative way</w:t>
      </w:r>
      <w:r w:rsidR="006519BA" w:rsidRPr="00E93B5A">
        <w:rPr>
          <w:rStyle w:val="Aucun"/>
          <w:rFonts w:ascii="Times New Roman" w:hAnsi="Times New Roman" w:cs="Times New Roman"/>
          <w:kern w:val="0"/>
        </w:rPr>
        <w:t>’</w:t>
      </w:r>
      <w:r w:rsidRPr="00E93B5A">
        <w:rPr>
          <w:rStyle w:val="Aucun"/>
          <w:rFonts w:ascii="Times New Roman" w:hAnsi="Times New Roman" w:cs="Times New Roman"/>
          <w:kern w:val="0"/>
        </w:rPr>
        <w:t xml:space="preserve"> or to follow a fixed recipe. But methods often turn into mirages—offering apparent clarity while overlooking the diversity of learners, contexts, and goals that shape every classroom. What teachers need today is not another rigid method but a set of flexible principles—research-based guidelines that support effective, inclusive, and meaningful learning for all.</w:t>
      </w:r>
    </w:p>
    <w:p w14:paraId="738A185E"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Learning begins with self-awareness</w:t>
      </w:r>
    </w:p>
    <w:p w14:paraId="738A185F"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One powerful certainty is that language learning is not only cognitive but also metacognitive. When learners reflect on where they are, how far they have come, and where they are going, they develop confidence and self-efficacy. Research shows that self-awareness fosters motivation and strategic learning (Zimmerman, 2002). </w:t>
      </w:r>
    </w:p>
    <w:p w14:paraId="47AA09F6" w14:textId="6B16244A" w:rsidR="00560FDE" w:rsidRPr="00560FDE" w:rsidRDefault="00C41F69" w:rsidP="00560FDE">
      <w:pPr>
        <w:pStyle w:val="FootnoteText"/>
        <w:rPr>
          <w:rFonts w:ascii="Times New Roman" w:hAnsi="Times New Roman" w:cs="Times New Roman"/>
          <w:sz w:val="24"/>
          <w:szCs w:val="24"/>
        </w:rPr>
      </w:pPr>
      <w:r w:rsidRPr="00E93B5A">
        <w:rPr>
          <w:rStyle w:val="Aucun"/>
          <w:rFonts w:ascii="Times New Roman" w:hAnsi="Times New Roman" w:cs="Times New Roman"/>
          <w:kern w:val="0"/>
          <w:sz w:val="24"/>
          <w:szCs w:val="24"/>
        </w:rPr>
        <w:t xml:space="preserve">Hattie (2009) found that </w:t>
      </w:r>
      <w:r w:rsidRPr="00E93B5A">
        <w:rPr>
          <w:rStyle w:val="Aucun"/>
          <w:rFonts w:ascii="Times New Roman" w:hAnsi="Times New Roman" w:cs="Times New Roman"/>
          <w:i/>
          <w:iCs/>
          <w:kern w:val="0"/>
          <w:sz w:val="24"/>
          <w:szCs w:val="24"/>
        </w:rPr>
        <w:t>self-reported grades</w:t>
      </w:r>
      <w:r w:rsidRPr="00E93B5A">
        <w:rPr>
          <w:rStyle w:val="Aucun"/>
          <w:rFonts w:ascii="Times New Roman" w:hAnsi="Times New Roman" w:cs="Times New Roman"/>
          <w:kern w:val="0"/>
          <w:sz w:val="24"/>
          <w:szCs w:val="24"/>
        </w:rPr>
        <w:t>—students</w:t>
      </w:r>
      <w:r w:rsidRPr="00E93B5A">
        <w:rPr>
          <w:rStyle w:val="Aucun"/>
          <w:rFonts w:ascii="Times New Roman" w:hAnsi="Times New Roman" w:cs="Times New Roman"/>
          <w:kern w:val="0"/>
          <w:sz w:val="24"/>
          <w:szCs w:val="24"/>
          <w:rtl/>
        </w:rPr>
        <w:t xml:space="preserve">’ </w:t>
      </w:r>
      <w:r w:rsidRPr="00E93B5A">
        <w:rPr>
          <w:rStyle w:val="Aucun"/>
          <w:rFonts w:ascii="Times New Roman" w:hAnsi="Times New Roman" w:cs="Times New Roman"/>
          <w:kern w:val="0"/>
          <w:sz w:val="24"/>
          <w:szCs w:val="24"/>
        </w:rPr>
        <w:t xml:space="preserve">ability to evaluate their own progress—carry an effect size of d = 1.33, the highest of all influences he studied. Integrating reflection through journals, goal setting, or peer assessment empowers </w:t>
      </w:r>
      <w:r w:rsidR="009D3C10" w:rsidRPr="00E93B5A">
        <w:rPr>
          <w:rStyle w:val="Aucun"/>
          <w:rFonts w:ascii="Times New Roman" w:hAnsi="Times New Roman" w:cs="Times New Roman"/>
          <w:color w:val="auto"/>
          <w:kern w:val="0"/>
          <w:sz w:val="24"/>
          <w:szCs w:val="24"/>
          <w:lang w:val="en-GB"/>
        </w:rPr>
        <w:t>all</w:t>
      </w:r>
      <w:r w:rsidRPr="00E93B5A">
        <w:rPr>
          <w:rStyle w:val="Aucun"/>
          <w:rFonts w:ascii="Times New Roman" w:hAnsi="Times New Roman" w:cs="Times New Roman"/>
          <w:color w:val="auto"/>
          <w:kern w:val="0"/>
          <w:sz w:val="24"/>
          <w:szCs w:val="24"/>
        </w:rPr>
        <w:t xml:space="preserve"> </w:t>
      </w:r>
      <w:r w:rsidRPr="00E93B5A">
        <w:rPr>
          <w:rStyle w:val="Aucun"/>
          <w:rFonts w:ascii="Times New Roman" w:hAnsi="Times New Roman" w:cs="Times New Roman"/>
          <w:kern w:val="0"/>
          <w:sz w:val="24"/>
          <w:szCs w:val="24"/>
        </w:rPr>
        <w:t>learners, not just the most confident, giving them equitable tools to author their own learning journeys</w:t>
      </w:r>
      <w:r w:rsidR="00560FDE">
        <w:rPr>
          <w:rStyle w:val="Aucun"/>
          <w:rFonts w:ascii="Times New Roman" w:hAnsi="Times New Roman" w:cs="Times New Roman"/>
          <w:kern w:val="0"/>
          <w:sz w:val="24"/>
          <w:szCs w:val="24"/>
        </w:rPr>
        <w:t>, (</w:t>
      </w:r>
      <w:r w:rsidR="00560FDE" w:rsidRPr="00560FDE">
        <w:rPr>
          <w:rStyle w:val="Aucun"/>
          <w:rFonts w:ascii="Times New Roman" w:hAnsi="Times New Roman" w:cs="Times New Roman"/>
          <w:kern w:val="0"/>
          <w:sz w:val="24"/>
          <w:szCs w:val="24"/>
        </w:rPr>
        <w:t xml:space="preserve">NB. </w:t>
      </w:r>
      <w:r w:rsidR="00560FDE" w:rsidRPr="00560FDE">
        <w:rPr>
          <w:rStyle w:val="Aucun"/>
          <w:rFonts w:ascii="Times New Roman" w:hAnsi="Times New Roman" w:cs="Times New Roman"/>
          <w:sz w:val="24"/>
          <w:szCs w:val="24"/>
        </w:rPr>
        <w:t>Effect size is a way of showing how powerful a teaching strategy is. John Hattie compared thousands of studies and found that if a strategy scores above 0.40, it usually makes a real difference in learning. The higher the number, the stronger the impact on students’ progress.</w:t>
      </w:r>
      <w:r w:rsidR="00560FDE">
        <w:rPr>
          <w:rStyle w:val="Aucun"/>
          <w:rFonts w:ascii="Times New Roman" w:hAnsi="Times New Roman" w:cs="Times New Roman"/>
          <w:sz w:val="24"/>
          <w:szCs w:val="24"/>
        </w:rPr>
        <w:t>)</w:t>
      </w:r>
    </w:p>
    <w:p w14:paraId="198B2BA7" w14:textId="77777777" w:rsidR="006E76EE" w:rsidRDefault="006E76EE">
      <w:pPr>
        <w:pStyle w:val="Corps"/>
        <w:spacing w:before="100" w:after="100" w:line="240" w:lineRule="auto"/>
        <w:outlineLvl w:val="1"/>
        <w:rPr>
          <w:rStyle w:val="Aucun"/>
          <w:rFonts w:ascii="Times New Roman" w:hAnsi="Times New Roman" w:cs="Times New Roman"/>
          <w:b/>
          <w:bCs/>
          <w:kern w:val="0"/>
        </w:rPr>
      </w:pPr>
    </w:p>
    <w:p w14:paraId="738A1861" w14:textId="180882B6"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Prior knowledge: the foundation for growth</w:t>
      </w:r>
    </w:p>
    <w:p w14:paraId="738A1862" w14:textId="77777777" w:rsidR="00D4601E"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lastRenderedPageBreak/>
        <w:t>Another certainty is that background knowledge is essential. Learners bring prior experiences, languages, and strategies into every classroom. Hattie (2009) reports an effect size of d = 0.68 for prior achievement, confirming its strong predictive power. For teachers, this means actively activating what students already know—about topics, strategies, or language. In multilingual and multicultural classrooms, valuing learners</w:t>
      </w:r>
      <w:r w:rsidRPr="00E93B5A">
        <w:rPr>
          <w:rStyle w:val="Aucun"/>
          <w:rFonts w:ascii="Times New Roman" w:hAnsi="Times New Roman" w:cs="Times New Roman"/>
          <w:kern w:val="0"/>
          <w:rtl/>
        </w:rPr>
        <w:t xml:space="preserve">’ </w:t>
      </w:r>
      <w:r w:rsidRPr="00E93B5A">
        <w:rPr>
          <w:rStyle w:val="Aucun"/>
          <w:rFonts w:ascii="Times New Roman" w:hAnsi="Times New Roman" w:cs="Times New Roman"/>
          <w:kern w:val="0"/>
        </w:rPr>
        <w:t>backgrounds is also a matter of equity: it communicates that every student</w:t>
      </w:r>
      <w:r w:rsidRPr="00E93B5A">
        <w:rPr>
          <w:rStyle w:val="Aucun"/>
          <w:rFonts w:ascii="Times New Roman" w:hAnsi="Times New Roman" w:cs="Times New Roman"/>
          <w:kern w:val="0"/>
          <w:rtl/>
        </w:rPr>
        <w:t>’</w:t>
      </w:r>
      <w:r w:rsidRPr="00E93B5A">
        <w:rPr>
          <w:rStyle w:val="Aucun"/>
          <w:rFonts w:ascii="Times New Roman" w:hAnsi="Times New Roman" w:cs="Times New Roman"/>
          <w:kern w:val="0"/>
        </w:rPr>
        <w:t>s identity and experience are resources for learning.</w:t>
      </w:r>
    </w:p>
    <w:p w14:paraId="22BE9547" w14:textId="77777777" w:rsidR="00560FDE" w:rsidRPr="00E93B5A" w:rsidRDefault="00560FDE">
      <w:pPr>
        <w:pStyle w:val="Corps"/>
        <w:spacing w:before="100" w:after="100" w:line="240" w:lineRule="auto"/>
        <w:rPr>
          <w:rStyle w:val="Aucun"/>
          <w:rFonts w:ascii="Times New Roman" w:hAnsi="Times New Roman" w:cs="Times New Roman"/>
          <w:kern w:val="0"/>
        </w:rPr>
      </w:pPr>
    </w:p>
    <w:p w14:paraId="738A1863"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It</w:t>
      </w:r>
      <w:r w:rsidRPr="00E93B5A">
        <w:rPr>
          <w:rStyle w:val="Aucun"/>
          <w:rFonts w:ascii="Times New Roman" w:hAnsi="Times New Roman" w:cs="Times New Roman"/>
          <w:b/>
          <w:bCs/>
          <w:kern w:val="0"/>
          <w:rtl/>
        </w:rPr>
        <w:t>’</w:t>
      </w:r>
      <w:r w:rsidRPr="00E93B5A">
        <w:rPr>
          <w:rStyle w:val="Aucun"/>
          <w:rFonts w:ascii="Times New Roman" w:hAnsi="Times New Roman" w:cs="Times New Roman"/>
          <w:b/>
          <w:bCs/>
          <w:kern w:val="0"/>
        </w:rPr>
        <w:t xml:space="preserve">s not acquisition </w:t>
      </w:r>
      <w:r w:rsidRPr="00E93B5A">
        <w:rPr>
          <w:rStyle w:val="Aucun"/>
          <w:rFonts w:ascii="Times New Roman" w:hAnsi="Times New Roman" w:cs="Times New Roman"/>
          <w:b/>
          <w:bCs/>
          <w:i/>
          <w:iCs/>
          <w:kern w:val="0"/>
        </w:rPr>
        <w:t>or</w:t>
      </w:r>
      <w:r w:rsidRPr="00E93B5A">
        <w:rPr>
          <w:rStyle w:val="Aucun"/>
          <w:rFonts w:ascii="Times New Roman" w:hAnsi="Times New Roman" w:cs="Times New Roman"/>
          <w:b/>
          <w:bCs/>
          <w:kern w:val="0"/>
        </w:rPr>
        <w:t xml:space="preserve"> learning—it</w:t>
      </w:r>
      <w:r w:rsidRPr="00E93B5A">
        <w:rPr>
          <w:rStyle w:val="Aucun"/>
          <w:rFonts w:ascii="Times New Roman" w:hAnsi="Times New Roman" w:cs="Times New Roman"/>
          <w:b/>
          <w:bCs/>
          <w:kern w:val="0"/>
          <w:rtl/>
        </w:rPr>
        <w:t>’</w:t>
      </w:r>
      <w:r w:rsidRPr="00E93B5A">
        <w:rPr>
          <w:rStyle w:val="Aucun"/>
          <w:rFonts w:ascii="Times New Roman" w:hAnsi="Times New Roman" w:cs="Times New Roman"/>
          <w:b/>
          <w:bCs/>
          <w:kern w:val="0"/>
        </w:rPr>
        <w:t>s both</w:t>
      </w:r>
    </w:p>
    <w:p w14:paraId="738A1864"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For years, teachers debated whether second languages are </w:t>
      </w:r>
      <w:r w:rsidRPr="00E93B5A">
        <w:rPr>
          <w:rStyle w:val="Aucun"/>
          <w:rFonts w:ascii="Times New Roman" w:hAnsi="Times New Roman" w:cs="Times New Roman"/>
          <w:kern w:val="0"/>
          <w:rtl/>
          <w:lang w:val="ar-SA"/>
        </w:rPr>
        <w:t>“</w:t>
      </w:r>
      <w:r w:rsidRPr="00E93B5A">
        <w:rPr>
          <w:rStyle w:val="Aucun"/>
          <w:rFonts w:ascii="Times New Roman" w:hAnsi="Times New Roman" w:cs="Times New Roman"/>
          <w:kern w:val="0"/>
        </w:rPr>
        <w:t xml:space="preserve">acquired” naturally or </w:t>
      </w:r>
      <w:r w:rsidRPr="00E93B5A">
        <w:rPr>
          <w:rStyle w:val="Aucun"/>
          <w:rFonts w:ascii="Times New Roman" w:hAnsi="Times New Roman" w:cs="Times New Roman"/>
          <w:kern w:val="0"/>
          <w:rtl/>
          <w:lang w:val="ar-SA"/>
        </w:rPr>
        <w:t>“</w:t>
      </w:r>
      <w:r w:rsidRPr="00E93B5A">
        <w:rPr>
          <w:rStyle w:val="Aucun"/>
          <w:rFonts w:ascii="Times New Roman" w:hAnsi="Times New Roman" w:cs="Times New Roman"/>
          <w:kern w:val="0"/>
        </w:rPr>
        <w:t xml:space="preserve">learned” through explicit teaching. We now know this is a false dichotomy. Learners need both. They benefit from communicative opportunities where language is </w:t>
      </w:r>
      <w:r w:rsidRPr="00E93B5A">
        <w:rPr>
          <w:rStyle w:val="Aucun"/>
          <w:rFonts w:ascii="Times New Roman" w:hAnsi="Times New Roman" w:cs="Times New Roman"/>
          <w:kern w:val="0"/>
          <w:rtl/>
          <w:lang w:val="ar-SA"/>
        </w:rPr>
        <w:t>“</w:t>
      </w:r>
      <w:r w:rsidRPr="00E93B5A">
        <w:rPr>
          <w:rStyle w:val="Aucun"/>
          <w:rFonts w:ascii="Times New Roman" w:hAnsi="Times New Roman" w:cs="Times New Roman"/>
          <w:kern w:val="0"/>
        </w:rPr>
        <w:t>picked up,” but also from mediation: explanation, scaffolding, and feedback from teachers. Henshaw and Hawkins (2022) argue that exposure without mediation leaves many behind, while mediation without communicative use results in sterile practice. Hattie</w:t>
      </w:r>
      <w:r w:rsidRPr="00E93B5A">
        <w:rPr>
          <w:rStyle w:val="Aucun"/>
          <w:rFonts w:ascii="Times New Roman" w:hAnsi="Times New Roman" w:cs="Times New Roman"/>
          <w:kern w:val="0"/>
          <w:rtl/>
        </w:rPr>
        <w:t>’</w:t>
      </w:r>
      <w:r w:rsidRPr="00E93B5A">
        <w:rPr>
          <w:rStyle w:val="Aucun"/>
          <w:rFonts w:ascii="Times New Roman" w:hAnsi="Times New Roman" w:cs="Times New Roman"/>
          <w:kern w:val="0"/>
        </w:rPr>
        <w:t xml:space="preserve">s (2009) evidence reinforces this, showing feedback (d = 0.73) and scaffolding (d= 0.82) as high-impact practices. Balancing acquisition and learning </w:t>
      </w:r>
      <w:proofErr w:type="gramStart"/>
      <w:r w:rsidRPr="00E93B5A">
        <w:rPr>
          <w:rStyle w:val="Aucun"/>
          <w:rFonts w:ascii="Times New Roman" w:hAnsi="Times New Roman" w:cs="Times New Roman"/>
          <w:kern w:val="0"/>
        </w:rPr>
        <w:t>ensures</w:t>
      </w:r>
      <w:proofErr w:type="gramEnd"/>
      <w:r w:rsidRPr="00E93B5A">
        <w:rPr>
          <w:rStyle w:val="Aucun"/>
          <w:rFonts w:ascii="Times New Roman" w:hAnsi="Times New Roman" w:cs="Times New Roman"/>
          <w:kern w:val="0"/>
        </w:rPr>
        <w:t xml:space="preserve"> no student is left without access to progress.</w:t>
      </w:r>
    </w:p>
    <w:p w14:paraId="738A1865"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From meaning to form</w:t>
      </w:r>
    </w:p>
    <w:p w14:paraId="738A1866"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Building a linguistic system often moves from meaning toward form. Learners first need to understand why a feature is used, then what it means, then how it sounds, and only later how it is structured. Hattie (2009, 2017) confirms the power of explicit instruction, with effect sizes of around d = 0.59–0.60. For teachers, this means giving students room to use language communicatively, while also providing timely guidance to help them notice patterns. This explicit focus is especially crucial for students who lack rich exposure to English outside school, ensuring access for all.</w:t>
      </w:r>
    </w:p>
    <w:p w14:paraId="738A1867"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Practice that pushes deeper</w:t>
      </w:r>
    </w:p>
    <w:p w14:paraId="738A1868" w14:textId="08410816"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Encountering new language is not enough; learners must practice actively. Practice typically progresses from repetition to personalization to communication. Yet Scrivener and Underhill (2012) argue that</w:t>
      </w:r>
      <w:r w:rsidR="00295FA9" w:rsidRPr="00E93B5A">
        <w:rPr>
          <w:rStyle w:val="Aucun"/>
          <w:rFonts w:ascii="Times New Roman" w:hAnsi="Times New Roman" w:cs="Times New Roman"/>
          <w:kern w:val="0"/>
        </w:rPr>
        <w:t xml:space="preserve"> </w:t>
      </w:r>
      <w:r w:rsidR="00C019A8" w:rsidRPr="00E93B5A">
        <w:rPr>
          <w:rStyle w:val="Aucun"/>
          <w:rFonts w:ascii="Times New Roman" w:hAnsi="Times New Roman" w:cs="Times New Roman"/>
          <w:kern w:val="0"/>
          <w:lang w:val="en-GB"/>
        </w:rPr>
        <w:t>‘j</w:t>
      </w:r>
      <w:proofErr w:type="spellStart"/>
      <w:r w:rsidRPr="00E93B5A">
        <w:rPr>
          <w:rStyle w:val="Aucun"/>
          <w:rFonts w:ascii="Times New Roman" w:hAnsi="Times New Roman" w:cs="Times New Roman"/>
          <w:kern w:val="0"/>
        </w:rPr>
        <w:t>ust</w:t>
      </w:r>
      <w:proofErr w:type="spellEnd"/>
      <w:r w:rsidRPr="00E93B5A">
        <w:rPr>
          <w:rStyle w:val="Aucun"/>
          <w:rFonts w:ascii="Times New Roman" w:hAnsi="Times New Roman" w:cs="Times New Roman"/>
          <w:kern w:val="0"/>
        </w:rPr>
        <w:t xml:space="preserve"> doing the exercise</w:t>
      </w:r>
      <w:r w:rsidR="00295FA9" w:rsidRPr="00E93B5A">
        <w:rPr>
          <w:rStyle w:val="Aucun"/>
          <w:rFonts w:ascii="Times New Roman" w:hAnsi="Times New Roman" w:cs="Times New Roman"/>
          <w:kern w:val="0"/>
        </w:rPr>
        <w:t>’</w:t>
      </w:r>
      <w:r w:rsidRPr="00E93B5A">
        <w:rPr>
          <w:rStyle w:val="Aucun"/>
          <w:rFonts w:ascii="Times New Roman" w:hAnsi="Times New Roman" w:cs="Times New Roman"/>
          <w:kern w:val="0"/>
        </w:rPr>
        <w:t xml:space="preserve"> is not enough. Their </w:t>
      </w:r>
      <w:r w:rsidRPr="00E93B5A">
        <w:rPr>
          <w:rStyle w:val="Aucun"/>
          <w:rFonts w:ascii="Times New Roman" w:hAnsi="Times New Roman" w:cs="Times New Roman"/>
          <w:i/>
          <w:iCs/>
          <w:kern w:val="0"/>
        </w:rPr>
        <w:t>Demand-High Teaching</w:t>
      </w:r>
      <w:r w:rsidRPr="00E93B5A">
        <w:rPr>
          <w:rStyle w:val="Aucun"/>
          <w:rFonts w:ascii="Times New Roman" w:hAnsi="Times New Roman" w:cs="Times New Roman"/>
          <w:kern w:val="0"/>
        </w:rPr>
        <w:t xml:space="preserve"> encourages teachers to extend tasks so that learners recall, elaborate, and personalize output. For example, after completing sentences about an athlete</w:t>
      </w:r>
      <w:r w:rsidRPr="00E93B5A">
        <w:rPr>
          <w:rStyle w:val="Aucun"/>
          <w:rFonts w:ascii="Times New Roman" w:hAnsi="Times New Roman" w:cs="Times New Roman"/>
          <w:kern w:val="0"/>
          <w:rtl/>
        </w:rPr>
        <w:t>’</w:t>
      </w:r>
      <w:r w:rsidRPr="00E93B5A">
        <w:rPr>
          <w:rStyle w:val="Aucun"/>
          <w:rFonts w:ascii="Times New Roman" w:hAnsi="Times New Roman" w:cs="Times New Roman"/>
          <w:kern w:val="0"/>
        </w:rPr>
        <w:t>s abilities, students might close their books and recall them, answer questions, and then describe their own abilities. These small extensions deepen processing and make practice meaningful, offering every learner a fair chance to succeed.</w:t>
      </w:r>
    </w:p>
    <w:p w14:paraId="738A1869"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Engagement and persistence</w:t>
      </w:r>
    </w:p>
    <w:p w14:paraId="738A186A"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Practice works best when it is engaging. Learners progress most when they persist in meaningful communication. Hattie (2009) found persistence and engagement to have an effect size of d = 0.48, while classroom discussion achieved d = 0.82. This shows that learners thrive when lessons demand effort and invite dialogue. For inclusive classrooms, engagement also means designing activities with multiple entry points so that learners with different profiles—whether quieter, neurodiverse, or less literate—can contribute meaningfully.</w:t>
      </w:r>
    </w:p>
    <w:p w14:paraId="738A186B"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Learning for today</w:t>
      </w:r>
    </w:p>
    <w:p w14:paraId="738A186C" w14:textId="6DEE1850" w:rsidR="00D4601E" w:rsidRPr="00E93B5A" w:rsidRDefault="00C41F69">
      <w:pPr>
        <w:pStyle w:val="Corps"/>
        <w:spacing w:before="100" w:after="100" w:line="240" w:lineRule="auto"/>
        <w:rPr>
          <w:rStyle w:val="Aucun"/>
          <w:rFonts w:ascii="Times New Roman" w:hAnsi="Times New Roman" w:cs="Times New Roman"/>
          <w:color w:val="0433FF"/>
          <w:kern w:val="0"/>
        </w:rPr>
      </w:pPr>
      <w:r w:rsidRPr="00E93B5A">
        <w:rPr>
          <w:rStyle w:val="Aucun"/>
          <w:rFonts w:ascii="Times New Roman" w:hAnsi="Times New Roman" w:cs="Times New Roman"/>
          <w:kern w:val="0"/>
        </w:rPr>
        <w:t xml:space="preserve">Guy Cook (2010) observed that much ELT prepares learners for </w:t>
      </w:r>
      <w:r w:rsidRPr="00E93B5A">
        <w:rPr>
          <w:rStyle w:val="Aucun"/>
          <w:rFonts w:ascii="Times New Roman" w:hAnsi="Times New Roman" w:cs="Times New Roman"/>
          <w:i/>
          <w:iCs/>
          <w:kern w:val="0"/>
        </w:rPr>
        <w:t>tomorrow</w:t>
      </w:r>
      <w:r w:rsidRPr="00E93B5A">
        <w:rPr>
          <w:rStyle w:val="Aucun"/>
          <w:rFonts w:ascii="Times New Roman" w:hAnsi="Times New Roman" w:cs="Times New Roman"/>
          <w:kern w:val="0"/>
        </w:rPr>
        <w:t xml:space="preserve">—jobs, travel, study abroad—while neglecting the needs of </w:t>
      </w:r>
      <w:r w:rsidRPr="00E93B5A">
        <w:rPr>
          <w:rStyle w:val="Aucun"/>
          <w:rFonts w:ascii="Times New Roman" w:hAnsi="Times New Roman" w:cs="Times New Roman"/>
          <w:i/>
          <w:iCs/>
          <w:kern w:val="0"/>
        </w:rPr>
        <w:t>today</w:t>
      </w:r>
      <w:r w:rsidRPr="00E93B5A">
        <w:rPr>
          <w:rStyle w:val="Aucun"/>
          <w:rFonts w:ascii="Times New Roman" w:hAnsi="Times New Roman" w:cs="Times New Roman"/>
          <w:kern w:val="0"/>
        </w:rPr>
        <w:t>. Yet learners are more motivated when English meets immediate goals: joining a gaming community, collaborating on a project, or speaking with classmates. D</w:t>
      </w:r>
      <w:r w:rsidRPr="00E93B5A">
        <w:rPr>
          <w:rStyle w:val="Aucun"/>
          <w:rFonts w:ascii="Times New Roman" w:hAnsi="Times New Roman" w:cs="Times New Roman"/>
          <w:kern w:val="0"/>
          <w:lang w:val="sv-SE"/>
        </w:rPr>
        <w:t>ö</w:t>
      </w:r>
      <w:proofErr w:type="spellStart"/>
      <w:r w:rsidRPr="00E93B5A">
        <w:rPr>
          <w:rStyle w:val="Aucun"/>
          <w:rFonts w:ascii="Times New Roman" w:hAnsi="Times New Roman" w:cs="Times New Roman"/>
          <w:kern w:val="0"/>
        </w:rPr>
        <w:t>rnyei</w:t>
      </w:r>
      <w:proofErr w:type="spellEnd"/>
      <w:r w:rsidRPr="00E93B5A">
        <w:rPr>
          <w:rStyle w:val="Aucun"/>
          <w:rFonts w:ascii="Times New Roman" w:hAnsi="Times New Roman" w:cs="Times New Roman"/>
          <w:kern w:val="0"/>
        </w:rPr>
        <w:t xml:space="preserve"> and Ushioda (2011) show that motivation grows when tasks connect with learners</w:t>
      </w:r>
      <w:r w:rsidRPr="00E93B5A">
        <w:rPr>
          <w:rStyle w:val="Aucun"/>
          <w:rFonts w:ascii="Times New Roman" w:hAnsi="Times New Roman" w:cs="Times New Roman"/>
          <w:kern w:val="0"/>
          <w:rtl/>
        </w:rPr>
        <w:t xml:space="preserve">’ </w:t>
      </w:r>
      <w:r w:rsidRPr="00E93B5A">
        <w:rPr>
          <w:rStyle w:val="Aucun"/>
          <w:rFonts w:ascii="Times New Roman" w:hAnsi="Times New Roman" w:cs="Times New Roman"/>
          <w:kern w:val="0"/>
          <w:lang w:val="pt-PT"/>
        </w:rPr>
        <w:t xml:space="preserve">lives. </w:t>
      </w:r>
    </w:p>
    <w:p w14:paraId="738A186D"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Reflection closes the circle</w:t>
      </w:r>
    </w:p>
    <w:p w14:paraId="738A186E"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Finally, learning comes full circle through reflection and self-assessment. Hattie (2009) found that self-evaluation (d = 0.75) and self-reported progress (d = 1.33) are among the strongest drivers of success. When learners keep journals, use checklists, or give peer feedback, they learn to monitor </w:t>
      </w:r>
      <w:r w:rsidRPr="00E93B5A">
        <w:rPr>
          <w:rStyle w:val="Aucun"/>
          <w:rFonts w:ascii="Times New Roman" w:hAnsi="Times New Roman" w:cs="Times New Roman"/>
          <w:kern w:val="0"/>
        </w:rPr>
        <w:lastRenderedPageBreak/>
        <w:t xml:space="preserve">progress and set new goals. Such practices democratize learning, giving every student—not only the confident or </w:t>
      </w:r>
      <w:proofErr w:type="gramStart"/>
      <w:r w:rsidRPr="00E93B5A">
        <w:rPr>
          <w:rStyle w:val="Aucun"/>
          <w:rFonts w:ascii="Times New Roman" w:hAnsi="Times New Roman" w:cs="Times New Roman"/>
          <w:kern w:val="0"/>
        </w:rPr>
        <w:t>outspoken—a</w:t>
      </w:r>
      <w:proofErr w:type="gramEnd"/>
      <w:r w:rsidRPr="00E93B5A">
        <w:rPr>
          <w:rStyle w:val="Aucun"/>
          <w:rFonts w:ascii="Times New Roman" w:hAnsi="Times New Roman" w:cs="Times New Roman"/>
          <w:kern w:val="0"/>
        </w:rPr>
        <w:t xml:space="preserve"> voice in defining and celebrating progress.</w:t>
      </w:r>
    </w:p>
    <w:p w14:paraId="738A186F"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rPr>
        <w:t>From certainties to principled practice</w:t>
      </w:r>
    </w:p>
    <w:p w14:paraId="738A1870"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These cautious certainties—metacognition, prior knowledge, mediation, explicit instruction, deep practice, engagement, relevance, and reflection—offer teachers more than evidence-based strategies. They point toward principled practice: </w:t>
      </w:r>
      <w:proofErr w:type="gramStart"/>
      <w:r w:rsidRPr="00E93B5A">
        <w:rPr>
          <w:rStyle w:val="Aucun"/>
          <w:rFonts w:ascii="Times New Roman" w:hAnsi="Times New Roman" w:cs="Times New Roman"/>
          <w:kern w:val="0"/>
        </w:rPr>
        <w:t>teaching that</w:t>
      </w:r>
      <w:proofErr w:type="gramEnd"/>
      <w:r w:rsidRPr="00E93B5A">
        <w:rPr>
          <w:rStyle w:val="Aucun"/>
          <w:rFonts w:ascii="Times New Roman" w:hAnsi="Times New Roman" w:cs="Times New Roman"/>
          <w:kern w:val="0"/>
        </w:rPr>
        <w:t xml:space="preserve"> is flexible, equitable, and responsive to learners</w:t>
      </w:r>
      <w:r w:rsidRPr="00E93B5A">
        <w:rPr>
          <w:rStyle w:val="Aucun"/>
          <w:rFonts w:ascii="Times New Roman" w:hAnsi="Times New Roman" w:cs="Times New Roman"/>
          <w:kern w:val="0"/>
          <w:rtl/>
        </w:rPr>
        <w:t xml:space="preserve">’ </w:t>
      </w:r>
      <w:r w:rsidRPr="00E93B5A">
        <w:rPr>
          <w:rStyle w:val="Aucun"/>
          <w:rFonts w:ascii="Times New Roman" w:hAnsi="Times New Roman" w:cs="Times New Roman"/>
          <w:kern w:val="0"/>
        </w:rPr>
        <w:t>real needs.</w:t>
      </w:r>
    </w:p>
    <w:p w14:paraId="738A1871"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An example of such principled practice can be found in </w:t>
      </w:r>
      <w:proofErr w:type="spellStart"/>
      <w:r w:rsidRPr="00E93B5A">
        <w:rPr>
          <w:rStyle w:val="Aucun"/>
          <w:rFonts w:ascii="Times New Roman" w:hAnsi="Times New Roman" w:cs="Times New Roman"/>
          <w:kern w:val="0"/>
        </w:rPr>
        <w:t>Dí</w:t>
      </w:r>
      <w:r w:rsidRPr="00E93B5A">
        <w:rPr>
          <w:rStyle w:val="Aucun"/>
          <w:rFonts w:ascii="Times New Roman" w:hAnsi="Times New Roman" w:cs="Times New Roman"/>
          <w:kern w:val="0"/>
          <w:lang w:val="en-GB"/>
        </w:rPr>
        <w:t>az</w:t>
      </w:r>
      <w:proofErr w:type="spellEnd"/>
      <w:r w:rsidRPr="00E93B5A">
        <w:rPr>
          <w:rStyle w:val="Aucun"/>
          <w:rFonts w:ascii="Times New Roman" w:hAnsi="Times New Roman" w:cs="Times New Roman"/>
          <w:kern w:val="0"/>
          <w:lang w:val="en-GB"/>
        </w:rPr>
        <w:t xml:space="preserve"> </w:t>
      </w:r>
      <w:proofErr w:type="spellStart"/>
      <w:r w:rsidRPr="00E93B5A">
        <w:rPr>
          <w:rStyle w:val="Aucun"/>
          <w:rFonts w:ascii="Times New Roman" w:hAnsi="Times New Roman" w:cs="Times New Roman"/>
          <w:kern w:val="0"/>
          <w:lang w:val="en-GB"/>
        </w:rPr>
        <w:t>Maggioli</w:t>
      </w:r>
      <w:proofErr w:type="spellEnd"/>
      <w:r w:rsidRPr="00E93B5A">
        <w:rPr>
          <w:rStyle w:val="Aucun"/>
          <w:rFonts w:ascii="Times New Roman" w:hAnsi="Times New Roman" w:cs="Times New Roman"/>
          <w:kern w:val="0"/>
          <w:rtl/>
        </w:rPr>
        <w:t>’</w:t>
      </w:r>
      <w:r w:rsidRPr="00E93B5A">
        <w:rPr>
          <w:rStyle w:val="Aucun"/>
          <w:rFonts w:ascii="Times New Roman" w:hAnsi="Times New Roman" w:cs="Times New Roman"/>
          <w:kern w:val="0"/>
        </w:rPr>
        <w:t xml:space="preserve">s (2024) </w:t>
      </w:r>
      <w:r w:rsidRPr="00E93B5A">
        <w:rPr>
          <w:rStyle w:val="Aucun"/>
          <w:rFonts w:ascii="Times New Roman" w:hAnsi="Times New Roman" w:cs="Times New Roman"/>
          <w:i/>
          <w:iCs/>
          <w:kern w:val="0"/>
        </w:rPr>
        <w:t>New Directions in Language Teaching</w:t>
      </w:r>
      <w:r w:rsidRPr="00E93B5A">
        <w:rPr>
          <w:rStyle w:val="Aucun"/>
          <w:rFonts w:ascii="Times New Roman" w:hAnsi="Times New Roman" w:cs="Times New Roman"/>
          <w:kern w:val="0"/>
        </w:rPr>
        <w:t>, which introduces the 6Es framework: engage, explore, encounter, experiment, express, and extend. While not a method, the 6Es exemplify how research insights can be translated into a practical compass for teachers. By weaving together exposure, mediation, practice, and reflection, the framework demonstrates how cautious certainties can be transformed into inclusive and accessible learning opportunities for diverse classrooms.</w:t>
      </w:r>
    </w:p>
    <w:p w14:paraId="738A1872" w14:textId="77777777" w:rsidR="00D4601E" w:rsidRPr="00E93B5A" w:rsidRDefault="00C41F69">
      <w:pPr>
        <w:pStyle w:val="Corps"/>
        <w:spacing w:before="100" w:after="100" w:line="240" w:lineRule="auto"/>
        <w:outlineLvl w:val="1"/>
        <w:rPr>
          <w:rStyle w:val="Aucun"/>
          <w:rFonts w:ascii="Times New Roman" w:hAnsi="Times New Roman" w:cs="Times New Roman"/>
          <w:b/>
          <w:bCs/>
          <w:kern w:val="0"/>
        </w:rPr>
      </w:pPr>
      <w:r w:rsidRPr="00E93B5A">
        <w:rPr>
          <w:rStyle w:val="Aucun"/>
          <w:rFonts w:ascii="Times New Roman" w:hAnsi="Times New Roman" w:cs="Times New Roman"/>
          <w:b/>
          <w:bCs/>
          <w:kern w:val="0"/>
          <w:lang w:val="en-GB"/>
        </w:rPr>
        <w:t>Conclusion</w:t>
      </w:r>
    </w:p>
    <w:p w14:paraId="738A1873"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Ultimately, teaching languages is about more than grammar or vocabulary—it is about creating classrooms where learners can flourish as individuals and as members of their communities. When teachers embrace principles drawn from research, they are not just following evidence; they are making a statement about inclusion, diversity, equity, and access. Classrooms built on reflection, prior knowledge, mediation, explicit guidance, meaningful practice, engagement, relevance, and self-assessment become spaces where every learner sees their identity affirmed and their potential recognized. By taking these cautious certainties seriously, teachers empower learners not only to master another language but to use it as a tool to connect, to participate, and to transform their worlds—today and tomorrow.</w:t>
      </w:r>
    </w:p>
    <w:p w14:paraId="738A1874" w14:textId="77777777" w:rsidR="00D4601E" w:rsidRPr="00E93B5A" w:rsidRDefault="00C41F69">
      <w:pPr>
        <w:pStyle w:val="Corps"/>
        <w:spacing w:before="100" w:after="100" w:line="240" w:lineRule="auto"/>
        <w:outlineLvl w:val="0"/>
        <w:rPr>
          <w:rStyle w:val="Aucun"/>
          <w:rFonts w:ascii="Times New Roman" w:hAnsi="Times New Roman" w:cs="Times New Roman"/>
          <w:b/>
          <w:bCs/>
          <w:kern w:val="36"/>
        </w:rPr>
      </w:pPr>
      <w:r w:rsidRPr="00E93B5A">
        <w:rPr>
          <w:rStyle w:val="Aucun"/>
          <w:rFonts w:ascii="Times New Roman" w:hAnsi="Times New Roman" w:cs="Times New Roman"/>
          <w:b/>
          <w:bCs/>
          <w:kern w:val="36"/>
          <w:lang w:val="en-GB"/>
        </w:rPr>
        <w:t>References</w:t>
      </w:r>
    </w:p>
    <w:p w14:paraId="738A1875"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Cook, G. (2010). </w:t>
      </w:r>
      <w:r w:rsidRPr="00E93B5A">
        <w:rPr>
          <w:rStyle w:val="Aucun"/>
          <w:rFonts w:ascii="Times New Roman" w:hAnsi="Times New Roman" w:cs="Times New Roman"/>
          <w:i/>
          <w:iCs/>
          <w:kern w:val="0"/>
        </w:rPr>
        <w:t>Translation in language teaching: An argument for reassessment.</w:t>
      </w:r>
      <w:r w:rsidRPr="00E93B5A">
        <w:rPr>
          <w:rStyle w:val="Aucun"/>
          <w:rFonts w:ascii="Times New Roman" w:hAnsi="Times New Roman" w:cs="Times New Roman"/>
          <w:kern w:val="0"/>
        </w:rPr>
        <w:t xml:space="preserve"> Oxford University Press.</w:t>
      </w:r>
    </w:p>
    <w:p w14:paraId="738A1876" w14:textId="77777777" w:rsidR="00D4601E" w:rsidRPr="00E93B5A" w:rsidRDefault="00C41F69">
      <w:pPr>
        <w:pStyle w:val="Corps"/>
        <w:spacing w:before="100" w:after="100" w:line="240" w:lineRule="auto"/>
        <w:rPr>
          <w:rStyle w:val="Aucun"/>
          <w:rFonts w:ascii="Times New Roman" w:hAnsi="Times New Roman" w:cs="Times New Roman"/>
          <w:kern w:val="0"/>
          <w:lang w:val="it-IT"/>
        </w:rPr>
      </w:pPr>
      <w:proofErr w:type="spellStart"/>
      <w:r w:rsidRPr="00E93B5A">
        <w:rPr>
          <w:rStyle w:val="Aucun"/>
          <w:rFonts w:ascii="Times New Roman" w:hAnsi="Times New Roman" w:cs="Times New Roman"/>
          <w:kern w:val="0"/>
        </w:rPr>
        <w:t>Dí</w:t>
      </w:r>
      <w:r w:rsidRPr="00E93B5A">
        <w:rPr>
          <w:rStyle w:val="Aucun"/>
          <w:rFonts w:ascii="Times New Roman" w:hAnsi="Times New Roman" w:cs="Times New Roman"/>
          <w:kern w:val="0"/>
          <w:lang w:val="en-GB"/>
        </w:rPr>
        <w:t>az</w:t>
      </w:r>
      <w:proofErr w:type="spellEnd"/>
      <w:r w:rsidRPr="00E93B5A">
        <w:rPr>
          <w:rStyle w:val="Aucun"/>
          <w:rFonts w:ascii="Times New Roman" w:hAnsi="Times New Roman" w:cs="Times New Roman"/>
          <w:kern w:val="0"/>
          <w:lang w:val="en-GB"/>
        </w:rPr>
        <w:t xml:space="preserve"> Maggioli, G. (2024). </w:t>
      </w:r>
      <w:r w:rsidRPr="00E93B5A">
        <w:rPr>
          <w:rStyle w:val="Aucun"/>
          <w:rFonts w:ascii="Times New Roman" w:hAnsi="Times New Roman" w:cs="Times New Roman"/>
          <w:i/>
          <w:iCs/>
          <w:kern w:val="0"/>
        </w:rPr>
        <w:t>New directions in language teaching.</w:t>
      </w:r>
      <w:r w:rsidRPr="00E93B5A">
        <w:rPr>
          <w:rStyle w:val="Aucun"/>
          <w:rFonts w:ascii="Times New Roman" w:hAnsi="Times New Roman" w:cs="Times New Roman"/>
          <w:kern w:val="0"/>
        </w:rPr>
        <w:t xml:space="preserve"> </w:t>
      </w:r>
      <w:r w:rsidRPr="00E93B5A">
        <w:rPr>
          <w:rStyle w:val="Aucun"/>
          <w:rFonts w:ascii="Times New Roman" w:hAnsi="Times New Roman" w:cs="Times New Roman"/>
          <w:kern w:val="0"/>
          <w:lang w:val="it-IT"/>
        </w:rPr>
        <w:t xml:space="preserve">Magró </w:t>
      </w:r>
      <w:r w:rsidRPr="00E93B5A">
        <w:rPr>
          <w:rStyle w:val="Aucun"/>
          <w:rFonts w:ascii="Times New Roman" w:hAnsi="Times New Roman" w:cs="Times New Roman"/>
          <w:kern w:val="0"/>
          <w:lang w:val="pt-PT"/>
        </w:rPr>
        <w:t>Grupo Editor.</w:t>
      </w:r>
    </w:p>
    <w:p w14:paraId="738A1877"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lang w:val="it-IT"/>
        </w:rPr>
        <w:t>D</w:t>
      </w:r>
      <w:r w:rsidRPr="00E93B5A">
        <w:rPr>
          <w:rStyle w:val="Aucun"/>
          <w:rFonts w:ascii="Times New Roman" w:hAnsi="Times New Roman" w:cs="Times New Roman"/>
          <w:kern w:val="0"/>
          <w:lang w:val="sv-SE"/>
        </w:rPr>
        <w:t>ö</w:t>
      </w:r>
      <w:r w:rsidRPr="00E93B5A">
        <w:rPr>
          <w:rStyle w:val="Aucun"/>
          <w:rFonts w:ascii="Times New Roman" w:hAnsi="Times New Roman" w:cs="Times New Roman"/>
          <w:kern w:val="0"/>
          <w:lang w:val="it-IT"/>
        </w:rPr>
        <w:t xml:space="preserve">rnyei, Z., &amp; Ushioda, E. (2011). </w:t>
      </w:r>
      <w:r w:rsidRPr="00E93B5A">
        <w:rPr>
          <w:rStyle w:val="Aucun"/>
          <w:rFonts w:ascii="Times New Roman" w:hAnsi="Times New Roman" w:cs="Times New Roman"/>
          <w:i/>
          <w:iCs/>
          <w:kern w:val="0"/>
        </w:rPr>
        <w:t>Teaching and researching motivation</w:t>
      </w:r>
      <w:r w:rsidRPr="00E93B5A">
        <w:rPr>
          <w:rStyle w:val="Aucun"/>
          <w:rFonts w:ascii="Times New Roman" w:hAnsi="Times New Roman" w:cs="Times New Roman"/>
          <w:kern w:val="0"/>
        </w:rPr>
        <w:t xml:space="preserve"> (2nd ed.). Pearson.</w:t>
      </w:r>
    </w:p>
    <w:p w14:paraId="738A1878"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Hattie, J. (2009). </w:t>
      </w:r>
      <w:r w:rsidRPr="00E93B5A">
        <w:rPr>
          <w:rStyle w:val="Aucun"/>
          <w:rFonts w:ascii="Times New Roman" w:hAnsi="Times New Roman" w:cs="Times New Roman"/>
          <w:i/>
          <w:iCs/>
          <w:kern w:val="0"/>
        </w:rPr>
        <w:t>Visible learning: A synthesis of over 800 meta-analyses relating to achievement.</w:t>
      </w:r>
      <w:r w:rsidRPr="00E93B5A">
        <w:rPr>
          <w:rStyle w:val="Aucun"/>
          <w:rFonts w:ascii="Times New Roman" w:hAnsi="Times New Roman" w:cs="Times New Roman"/>
          <w:kern w:val="0"/>
        </w:rPr>
        <w:t xml:space="preserve"> Routledge.</w:t>
      </w:r>
    </w:p>
    <w:p w14:paraId="738A1879"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Hattie, J. (2017). </w:t>
      </w:r>
      <w:r w:rsidRPr="00E93B5A">
        <w:rPr>
          <w:rStyle w:val="Aucun"/>
          <w:rFonts w:ascii="Times New Roman" w:hAnsi="Times New Roman" w:cs="Times New Roman"/>
          <w:i/>
          <w:iCs/>
          <w:kern w:val="0"/>
        </w:rPr>
        <w:t>Visible learning for teachers: Maximizing impact on learning.</w:t>
      </w:r>
      <w:r w:rsidRPr="00E93B5A">
        <w:rPr>
          <w:rStyle w:val="Aucun"/>
          <w:rFonts w:ascii="Times New Roman" w:hAnsi="Times New Roman" w:cs="Times New Roman"/>
          <w:kern w:val="0"/>
        </w:rPr>
        <w:t xml:space="preserve"> Routledge.</w:t>
      </w:r>
    </w:p>
    <w:p w14:paraId="738A187A"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 xml:space="preserve">Henshaw, F. G., &amp; Hawkins, M. D. (2022). </w:t>
      </w:r>
      <w:r w:rsidRPr="00E93B5A">
        <w:rPr>
          <w:rStyle w:val="Aucun"/>
          <w:rFonts w:ascii="Times New Roman" w:hAnsi="Times New Roman" w:cs="Times New Roman"/>
          <w:i/>
          <w:iCs/>
          <w:kern w:val="0"/>
        </w:rPr>
        <w:t>Common ground: Second language acquisition theory goes to the classroom.</w:t>
      </w:r>
      <w:r w:rsidRPr="00E93B5A">
        <w:rPr>
          <w:rStyle w:val="Aucun"/>
          <w:rFonts w:ascii="Times New Roman" w:hAnsi="Times New Roman" w:cs="Times New Roman"/>
          <w:kern w:val="0"/>
        </w:rPr>
        <w:t xml:space="preserve"> Hackett Publishing.</w:t>
      </w:r>
    </w:p>
    <w:p w14:paraId="738A187B" w14:textId="77777777" w:rsidR="00D4601E" w:rsidRPr="00E93B5A" w:rsidRDefault="00C41F69">
      <w:pPr>
        <w:pStyle w:val="Corps"/>
        <w:spacing w:before="100" w:after="100" w:line="240" w:lineRule="auto"/>
        <w:rPr>
          <w:rStyle w:val="Aucun"/>
          <w:rFonts w:ascii="Times New Roman" w:hAnsi="Times New Roman" w:cs="Times New Roman"/>
          <w:kern w:val="0"/>
        </w:rPr>
      </w:pPr>
      <w:r w:rsidRPr="00E93B5A">
        <w:rPr>
          <w:rStyle w:val="Aucun"/>
          <w:rFonts w:ascii="Times New Roman" w:hAnsi="Times New Roman" w:cs="Times New Roman"/>
          <w:kern w:val="0"/>
        </w:rPr>
        <w:t>Scrivener, J., &amp; Underhill, A. (2012). Demand-high teaching. Retrieved from https://www.teachingenglish.org.uk/sites/teacheng/files/demand_high_for_teachers_and_learners.pdf</w:t>
      </w:r>
    </w:p>
    <w:p w14:paraId="738A187C" w14:textId="481EAC35" w:rsidR="00D4601E" w:rsidRDefault="00C41F69">
      <w:pPr>
        <w:pStyle w:val="Corps"/>
        <w:spacing w:before="100" w:after="100" w:line="240" w:lineRule="auto"/>
      </w:pPr>
      <w:r w:rsidRPr="00E93B5A">
        <w:rPr>
          <w:rStyle w:val="Aucun"/>
          <w:rFonts w:ascii="Times New Roman" w:hAnsi="Times New Roman" w:cs="Times New Roman"/>
          <w:kern w:val="0"/>
        </w:rPr>
        <w:t xml:space="preserve">Zimmerman, B. J. (2002). Becoming a self-regulated learner: An overview. </w:t>
      </w:r>
      <w:r w:rsidRPr="00E93B5A">
        <w:rPr>
          <w:rStyle w:val="Aucun"/>
          <w:rFonts w:ascii="Times New Roman" w:hAnsi="Times New Roman" w:cs="Times New Roman"/>
          <w:i/>
          <w:iCs/>
          <w:kern w:val="0"/>
        </w:rPr>
        <w:t>Theory into Practice, 41</w:t>
      </w:r>
      <w:r w:rsidRPr="00E93B5A">
        <w:rPr>
          <w:rStyle w:val="Aucun"/>
          <w:rFonts w:ascii="Times New Roman" w:hAnsi="Times New Roman" w:cs="Times New Roman"/>
          <w:kern w:val="0"/>
        </w:rPr>
        <w:t xml:space="preserve">(2), 64–70. </w:t>
      </w:r>
      <w:hyperlink r:id="rId8" w:history="1">
        <w:r w:rsidR="00022375" w:rsidRPr="006E76EE">
          <w:rPr>
            <w:rStyle w:val="Hyperlink"/>
            <w:rFonts w:ascii="Times New Roman" w:hAnsi="Times New Roman" w:cs="Times New Roman"/>
            <w:color w:val="0070C0"/>
            <w:kern w:val="0"/>
          </w:rPr>
          <w:t>https://doi.org/10.1207/s15430421tip4102_2</w:t>
        </w:r>
      </w:hyperlink>
    </w:p>
    <w:p w14:paraId="4B28CB17" w14:textId="77777777" w:rsidR="006E76EE" w:rsidRPr="00E93B5A" w:rsidRDefault="006E76EE">
      <w:pPr>
        <w:pStyle w:val="Corps"/>
        <w:spacing w:before="100" w:after="100" w:line="240" w:lineRule="auto"/>
        <w:rPr>
          <w:rStyle w:val="Aucun"/>
          <w:rFonts w:ascii="Times New Roman" w:hAnsi="Times New Roman" w:cs="Times New Roman"/>
          <w:kern w:val="0"/>
        </w:rPr>
      </w:pPr>
    </w:p>
    <w:p w14:paraId="6D5DB103" w14:textId="77777777" w:rsidR="00022375" w:rsidRPr="00E93B5A" w:rsidRDefault="00022375">
      <w:pPr>
        <w:pStyle w:val="Corps"/>
        <w:spacing w:before="100" w:after="100" w:line="240" w:lineRule="auto"/>
        <w:rPr>
          <w:rStyle w:val="Aucun"/>
          <w:rFonts w:ascii="Times New Roman" w:hAnsi="Times New Roman" w:cs="Times New Roman"/>
          <w:kern w:val="0"/>
        </w:rPr>
      </w:pPr>
    </w:p>
    <w:p w14:paraId="6D7AE828" w14:textId="77777777" w:rsidR="00022375" w:rsidRPr="00E93B5A" w:rsidRDefault="00022375">
      <w:pPr>
        <w:pStyle w:val="Corps"/>
        <w:spacing w:before="100" w:after="100" w:line="240" w:lineRule="auto"/>
        <w:rPr>
          <w:rStyle w:val="Aucun"/>
          <w:rFonts w:ascii="Times New Roman" w:hAnsi="Times New Roman" w:cs="Times New Roman"/>
          <w:kern w:val="0"/>
        </w:rPr>
      </w:pPr>
    </w:p>
    <w:p w14:paraId="6F016A23" w14:textId="77777777" w:rsidR="00C139B1" w:rsidRPr="006027E3" w:rsidRDefault="00C139B1" w:rsidP="00C139B1">
      <w:pPr>
        <w:rPr>
          <w:b/>
          <w:bCs/>
          <w:lang w:val="en-GB"/>
        </w:rPr>
      </w:pPr>
      <w:bookmarkStart w:id="0" w:name="_Hlk207462453"/>
      <w:r>
        <w:rPr>
          <w:b/>
        </w:rPr>
        <w:t xml:space="preserve">Coming soon! Please </w:t>
      </w:r>
      <w:proofErr w:type="gramStart"/>
      <w:r>
        <w:rPr>
          <w:b/>
        </w:rPr>
        <w:t>check</w:t>
      </w:r>
      <w:proofErr w:type="gramEnd"/>
      <w:r>
        <w:rPr>
          <w:b/>
        </w:rPr>
        <w:t xml:space="preserve"> the </w:t>
      </w:r>
      <w:r w:rsidRPr="006027E3">
        <w:rPr>
          <w:b/>
          <w:bCs/>
          <w:u w:val="single"/>
          <w:lang w:val="en-GB"/>
        </w:rPr>
        <w:t xml:space="preserve">Pilgrims in Teacher Training courses </w:t>
      </w:r>
      <w:r>
        <w:rPr>
          <w:b/>
          <w:bCs/>
          <w:u w:val="single"/>
          <w:lang w:val="en-GB"/>
        </w:rPr>
        <w:t xml:space="preserve">in </w:t>
      </w:r>
      <w:r w:rsidRPr="006027E3">
        <w:rPr>
          <w:b/>
          <w:bCs/>
          <w:u w:val="single"/>
          <w:lang w:val="en-GB"/>
        </w:rPr>
        <w:t>202</w:t>
      </w:r>
      <w:r>
        <w:rPr>
          <w:b/>
          <w:bCs/>
          <w:u w:val="single"/>
          <w:lang w:val="en-GB"/>
        </w:rPr>
        <w:t>7</w:t>
      </w:r>
      <w:r w:rsidRPr="006027E3">
        <w:rPr>
          <w:b/>
          <w:bCs/>
          <w:lang w:val="en-GB"/>
        </w:rPr>
        <w:t xml:space="preserve"> </w:t>
      </w:r>
      <w:proofErr w:type="gramStart"/>
      <w:r w:rsidRPr="00FF69C7">
        <w:rPr>
          <w:b/>
        </w:rPr>
        <w:t>at Pilgrims</w:t>
      </w:r>
      <w:proofErr w:type="gramEnd"/>
      <w:r w:rsidRPr="00FF69C7">
        <w:rPr>
          <w:b/>
        </w:rPr>
        <w:t xml:space="preserve"> website.</w:t>
      </w:r>
    </w:p>
    <w:bookmarkEnd w:id="0"/>
    <w:p w14:paraId="2451AF03" w14:textId="77777777" w:rsidR="00C139B1" w:rsidRDefault="00C139B1" w:rsidP="00C139B1">
      <w:pPr>
        <w:rPr>
          <w:lang w:val="en-GB"/>
        </w:rPr>
      </w:pPr>
    </w:p>
    <w:p w14:paraId="096C7B6F" w14:textId="77777777" w:rsidR="00022375" w:rsidRPr="00C139B1" w:rsidRDefault="00022375">
      <w:pPr>
        <w:pStyle w:val="Corps"/>
        <w:spacing w:before="100" w:after="100" w:line="240" w:lineRule="auto"/>
        <w:rPr>
          <w:rFonts w:ascii="Times New Roman" w:hAnsi="Times New Roman" w:cs="Times New Roman"/>
          <w:lang w:val="en-GB"/>
        </w:rPr>
      </w:pPr>
    </w:p>
    <w:sectPr w:rsidR="00022375" w:rsidRPr="00C139B1">
      <w:headerReference w:type="default" r:id="rId9"/>
      <w:footerReference w:type="default" r:id="rId10"/>
      <w:pgSz w:w="11920" w:h="16860"/>
      <w:pgMar w:top="1123" w:right="1020" w:bottom="860" w:left="1000" w:header="0" w:footer="6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7B193" w14:textId="77777777" w:rsidR="00167584" w:rsidRDefault="00167584">
      <w:r>
        <w:separator/>
      </w:r>
    </w:p>
  </w:endnote>
  <w:endnote w:type="continuationSeparator" w:id="0">
    <w:p w14:paraId="4DF5E1B7" w14:textId="77777777" w:rsidR="00167584" w:rsidRDefault="0016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Sylfaen"/>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1881" w14:textId="77777777" w:rsidR="00D4601E" w:rsidRDefault="00D4601E">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7EF0B" w14:textId="77777777" w:rsidR="00167584" w:rsidRDefault="00167584">
      <w:r>
        <w:separator/>
      </w:r>
    </w:p>
  </w:footnote>
  <w:footnote w:type="continuationSeparator" w:id="0">
    <w:p w14:paraId="22CFB8AF" w14:textId="77777777" w:rsidR="00167584" w:rsidRDefault="00167584">
      <w:r>
        <w:continuationSeparator/>
      </w:r>
    </w:p>
  </w:footnote>
  <w:footnote w:type="continuationNotice" w:id="1">
    <w:p w14:paraId="3A3BB3C5" w14:textId="77777777" w:rsidR="00167584" w:rsidRDefault="001675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1880" w14:textId="77777777" w:rsidR="00D4601E" w:rsidRDefault="00D460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01E"/>
    <w:rsid w:val="00022375"/>
    <w:rsid w:val="00057B4F"/>
    <w:rsid w:val="000B7FC1"/>
    <w:rsid w:val="000F1DEF"/>
    <w:rsid w:val="00167584"/>
    <w:rsid w:val="00295FA9"/>
    <w:rsid w:val="003B533F"/>
    <w:rsid w:val="004512A4"/>
    <w:rsid w:val="00560FDE"/>
    <w:rsid w:val="006519BA"/>
    <w:rsid w:val="006D5CC9"/>
    <w:rsid w:val="006E76EE"/>
    <w:rsid w:val="00744E66"/>
    <w:rsid w:val="00813C1C"/>
    <w:rsid w:val="00854E96"/>
    <w:rsid w:val="00882DDD"/>
    <w:rsid w:val="008A3358"/>
    <w:rsid w:val="009D3C10"/>
    <w:rsid w:val="00A208CC"/>
    <w:rsid w:val="00AA6EE4"/>
    <w:rsid w:val="00C019A8"/>
    <w:rsid w:val="00C139B1"/>
    <w:rsid w:val="00C41F69"/>
    <w:rsid w:val="00C60B18"/>
    <w:rsid w:val="00CF4784"/>
    <w:rsid w:val="00D237C5"/>
    <w:rsid w:val="00D4601E"/>
    <w:rsid w:val="00E93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1857"/>
  <w15:docId w15:val="{8C8E34DB-4109-4CED-B939-AF63D4DFC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Header">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s">
    <w:name w:val="Corps"/>
    <w:pPr>
      <w:spacing w:after="160" w:line="278" w:lineRule="auto"/>
    </w:pPr>
    <w:rPr>
      <w:rFonts w:ascii="Aptos" w:eastAsia="Aptos" w:hAnsi="Aptos" w:cs="Aptos"/>
      <w:color w:val="000000"/>
      <w:kern w:val="2"/>
      <w:sz w:val="24"/>
      <w:szCs w:val="24"/>
      <w:u w:color="000000"/>
      <w:lang w:val="en-US"/>
      <w14:textOutline w14:w="0" w14:cap="flat" w14:cmpd="sng" w14:algn="ctr">
        <w14:noFill/>
        <w14:prstDash w14:val="solid"/>
        <w14:bevel/>
      </w14:textOutline>
    </w:rPr>
  </w:style>
  <w:style w:type="character" w:customStyle="1" w:styleId="Aucun">
    <w:name w:val="Aucun"/>
    <w:rPr>
      <w:lang w:val="en-US"/>
    </w:rPr>
  </w:style>
  <w:style w:type="paragraph" w:styleId="FootnoteText">
    <w:name w:val="footnote text"/>
    <w:link w:val="FootnoteTextChar"/>
    <w:rPr>
      <w:rFonts w:ascii="Aptos" w:eastAsia="Aptos" w:hAnsi="Aptos" w:cs="Aptos"/>
      <w:color w:val="000000"/>
      <w:kern w:val="2"/>
      <w:u w:color="000000"/>
      <w:lang w:val="en-US"/>
    </w:rPr>
  </w:style>
  <w:style w:type="character" w:styleId="UnresolvedMention">
    <w:name w:val="Unresolved Mention"/>
    <w:basedOn w:val="DefaultParagraphFont"/>
    <w:uiPriority w:val="99"/>
    <w:semiHidden/>
    <w:unhideWhenUsed/>
    <w:rsid w:val="00022375"/>
    <w:rPr>
      <w:color w:val="605E5C"/>
      <w:shd w:val="clear" w:color="auto" w:fill="E1DFDD"/>
    </w:rPr>
  </w:style>
  <w:style w:type="character" w:customStyle="1" w:styleId="FootnoteTextChar">
    <w:name w:val="Footnote Text Char"/>
    <w:basedOn w:val="DefaultParagraphFont"/>
    <w:link w:val="FootnoteText"/>
    <w:rsid w:val="00560FDE"/>
    <w:rPr>
      <w:rFonts w:ascii="Aptos" w:eastAsia="Aptos" w:hAnsi="Aptos" w:cs="Aptos"/>
      <w:color w:val="000000"/>
      <w:kern w:val="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207/s15430421tip4102_2"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az_g@ort.edu.uy"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2026-07-20T18:09:00Z</dcterms:created>
  <dcterms:modified xsi:type="dcterms:W3CDTF">2026-07-20T18:17:00Z</dcterms:modified>
</cp:coreProperties>
</file>