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E0A1A" w14:textId="77777777" w:rsidR="0064348E" w:rsidRDefault="00000000">
      <w:pP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Triple-A Writing Analysis: Analyzing the Message, the Complexity of Language, and Fluency of Expression</w:t>
      </w:r>
    </w:p>
    <w:p w14:paraId="3106713F" w14:textId="77777777" w:rsidR="0064348E" w:rsidRDefault="0064348E">
      <w:pPr>
        <w:rPr>
          <w:rFonts w:ascii="Times New Roman" w:eastAsia="Times New Roman" w:hAnsi="Times New Roman" w:cs="Times New Roman"/>
          <w:b/>
          <w:bCs/>
          <w:sz w:val="24"/>
          <w:szCs w:val="24"/>
        </w:rPr>
      </w:pPr>
    </w:p>
    <w:p w14:paraId="5F3343A5" w14:textId="77777777" w:rsidR="0064348E"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Miriam C. A. Semeniuk, Canada</w:t>
      </w:r>
    </w:p>
    <w:p w14:paraId="61214BE4" w14:textId="76E1B532" w:rsidR="0064348E"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Miriam writes to us from British Columbia, Canada where she has taught from Kindergarten through Grade Seven in English and French since 1984 and has worked as a Special Education teacher for 15 years. This article was written in partial fulfilment of her scholarly portfolio for her studies towards a PhD in Education.</w:t>
      </w:r>
      <w:r w:rsidR="00E8328D">
        <w:rPr>
          <w:rFonts w:ascii="Times New Roman" w:eastAsia="Times New Roman" w:hAnsi="Times New Roman" w:cs="Times New Roman"/>
          <w:sz w:val="24"/>
          <w:szCs w:val="24"/>
        </w:rPr>
        <w:t xml:space="preserve"> </w:t>
      </w:r>
      <w:r w:rsidRPr="00E8328D">
        <w:rPr>
          <w:rFonts w:ascii="Times New Roman" w:eastAsia="Times New Roman" w:hAnsi="Times New Roman" w:cs="Times New Roman"/>
          <w:sz w:val="24"/>
          <w:szCs w:val="24"/>
        </w:rPr>
        <w:t>Email: miriamsemeniuk@gmail.com</w:t>
      </w:r>
    </w:p>
    <w:p w14:paraId="55694CA8" w14:textId="77777777" w:rsidR="0064348E" w:rsidRDefault="0064348E">
      <w:pPr>
        <w:rPr>
          <w:rFonts w:ascii="Times New Roman" w:eastAsia="Times New Roman" w:hAnsi="Times New Roman" w:cs="Times New Roman"/>
          <w:b/>
          <w:bCs/>
          <w:sz w:val="24"/>
          <w:szCs w:val="24"/>
        </w:rPr>
      </w:pPr>
    </w:p>
    <w:p w14:paraId="43AEB946" w14:textId="77777777" w:rsidR="0064348E"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21069004"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Triple–A writing analysis examines three constructs in all academic writing: the message written, the complexity of language used to convey that message, and the fluency of expression in writing all types of text genres. Repeated analyses of student writing integrate empirically derived, binary choice, boundary definition ratings (Turner &amp; Upshur, 1996) in assessment–decision pathways, making this a highly individualized approach to formative assessment. Multiple analyses of written texts can support individual students at their point of need in acquiring knowledge, in perfecting the language used to express their ideas, and in achieving high–level writing.</w:t>
      </w:r>
    </w:p>
    <w:p w14:paraId="13CFBE46" w14:textId="77777777" w:rsidR="0064348E" w:rsidRDefault="0064348E">
      <w:pPr>
        <w:spacing w:after="0"/>
        <w:rPr>
          <w:rFonts w:ascii="Times New Roman" w:eastAsia="Times New Roman" w:hAnsi="Times New Roman" w:cs="Times New Roman"/>
          <w:sz w:val="24"/>
          <w:szCs w:val="24"/>
        </w:rPr>
      </w:pPr>
    </w:p>
    <w:p w14:paraId="23C34E96" w14:textId="77777777" w:rsidR="0064348E" w:rsidRDefault="0000000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w:t>
      </w:r>
    </w:p>
    <w:p w14:paraId="16AA8B17" w14:textId="77777777" w:rsidR="0064348E" w:rsidRDefault="0064348E">
      <w:pPr>
        <w:spacing w:after="0" w:line="240" w:lineRule="auto"/>
        <w:rPr>
          <w:rFonts w:ascii="Times New Roman" w:eastAsia="Times New Roman" w:hAnsi="Times New Roman" w:cs="Times New Roman"/>
          <w:sz w:val="24"/>
          <w:szCs w:val="24"/>
        </w:rPr>
      </w:pPr>
    </w:p>
    <w:p w14:paraId="27A6A67B"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article presents a three–stage assessment of student writing in extending the empirically derived, binary choice, boundary definition rating scale (EBB) (Turner &amp; Upshur, 1996; Baker &amp; Newman, 2023), for use in formative classroom assessment. EBB scales were originally prepared as screening tools for assessing students’ abilities for including top performers in educational programs. In the current application, three analyses (triple–A)</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of student writing integrate assessment–decision pathways whereby instructional decisions are based on the needs of each learner according to the assessment criteria for each piece of writing. </w:t>
      </w:r>
    </w:p>
    <w:p w14:paraId="3F4D8E35" w14:textId="77777777" w:rsidR="0064348E" w:rsidRDefault="0064348E">
      <w:pPr>
        <w:spacing w:after="0" w:line="240" w:lineRule="auto"/>
        <w:rPr>
          <w:rFonts w:ascii="Times New Roman" w:eastAsia="Times New Roman" w:hAnsi="Times New Roman" w:cs="Times New Roman"/>
          <w:sz w:val="24"/>
          <w:szCs w:val="24"/>
        </w:rPr>
      </w:pPr>
    </w:p>
    <w:p w14:paraId="1D5552B6"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preparing a rating scale, a series of critical questions developed for assessing written texts are used to classify the texts into two piles for high or low achievers based on the characteristics of the performance, differentiating low from high level writing (e.g., </w:t>
      </w:r>
      <w:r>
        <w:rPr>
          <w:rFonts w:ascii="Times New Roman" w:eastAsia="Times New Roman" w:hAnsi="Times New Roman" w:cs="Times New Roman"/>
          <w:i/>
          <w:iCs/>
          <w:sz w:val="24"/>
          <w:szCs w:val="24"/>
        </w:rPr>
        <w:t>Was an opinion stated?</w:t>
      </w:r>
      <w:r>
        <w:rPr>
          <w:rFonts w:ascii="Times New Roman" w:eastAsia="Times New Roman" w:hAnsi="Times New Roman" w:cs="Times New Roman"/>
          <w:sz w:val="24"/>
          <w:szCs w:val="24"/>
        </w:rPr>
        <w:t xml:space="preserve"> Yes/no? </w:t>
      </w:r>
      <w:r>
        <w:rPr>
          <w:rFonts w:ascii="Times New Roman" w:eastAsia="Times New Roman" w:hAnsi="Times New Roman" w:cs="Times New Roman"/>
          <w:i/>
          <w:iCs/>
          <w:sz w:val="24"/>
          <w:szCs w:val="24"/>
        </w:rPr>
        <w:t>Were reasons given to support the opinion?</w:t>
      </w:r>
      <w:r>
        <w:rPr>
          <w:rFonts w:ascii="Times New Roman" w:eastAsia="Times New Roman" w:hAnsi="Times New Roman" w:cs="Times New Roman"/>
          <w:sz w:val="24"/>
          <w:szCs w:val="24"/>
        </w:rPr>
        <w:t xml:space="preserve"> Yes/no?). The two piles are further examined using a second critical guiding question to distinguish between samples in both piles to identify the highest achievers which will determine which candidates are accepted to the program. The results can also be used for assigning grades by creating a grading scheme in which writing samples </w:t>
      </w:r>
      <w:proofErr w:type="gramStart"/>
      <w:r>
        <w:rPr>
          <w:rFonts w:ascii="Times New Roman" w:eastAsia="Times New Roman" w:hAnsi="Times New Roman" w:cs="Times New Roman"/>
          <w:sz w:val="24"/>
          <w:szCs w:val="24"/>
        </w:rPr>
        <w:t>meeting</w:t>
      </w:r>
      <w:proofErr w:type="gramEnd"/>
      <w:r>
        <w:rPr>
          <w:rFonts w:ascii="Times New Roman" w:eastAsia="Times New Roman" w:hAnsi="Times New Roman" w:cs="Times New Roman"/>
          <w:sz w:val="24"/>
          <w:szCs w:val="24"/>
        </w:rPr>
        <w:t xml:space="preserve"> all or nearly all the criteria receive A+ or A, and those in need of refinement receive lower grades. </w:t>
      </w:r>
    </w:p>
    <w:p w14:paraId="6D52C038" w14:textId="77777777" w:rsidR="0064348E" w:rsidRDefault="0064348E">
      <w:pPr>
        <w:spacing w:after="0" w:line="240" w:lineRule="auto"/>
        <w:rPr>
          <w:rFonts w:ascii="Times New Roman" w:eastAsia="Times New Roman" w:hAnsi="Times New Roman" w:cs="Times New Roman"/>
          <w:sz w:val="24"/>
          <w:szCs w:val="24"/>
        </w:rPr>
      </w:pPr>
    </w:p>
    <w:p w14:paraId="1AA515B6"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Triple–A analyses, the binary model includes three critical questions in three applications using a formative approach in assessing individual students’ work. Each text is analyzed three times with three purposes: analysis of the message, complexity of language, and fluency or </w:t>
      </w:r>
      <w:r>
        <w:rPr>
          <w:rFonts w:ascii="Times New Roman" w:eastAsia="Times New Roman" w:hAnsi="Times New Roman" w:cs="Times New Roman"/>
          <w:sz w:val="24"/>
          <w:szCs w:val="24"/>
        </w:rPr>
        <w:lastRenderedPageBreak/>
        <w:t>coherence. Different from using the rating scores for admission to programs as intended, key questions (KQ) are used to guide discussions in brief conferences one–on–one with students. Ongoing descriptive feedback is given—corrective feedback that is meaningful, clear, and vital in supporting improved learning and for setting specific short– and long–term learning objectives.</w:t>
      </w:r>
    </w:p>
    <w:p w14:paraId="4A3EBA36" w14:textId="77777777" w:rsidR="0064348E" w:rsidRDefault="0064348E">
      <w:pPr>
        <w:spacing w:after="0" w:line="240" w:lineRule="auto"/>
        <w:rPr>
          <w:rFonts w:ascii="Times New Roman" w:eastAsia="Times New Roman" w:hAnsi="Times New Roman" w:cs="Times New Roman"/>
          <w:sz w:val="24"/>
          <w:szCs w:val="24"/>
        </w:rPr>
      </w:pPr>
    </w:p>
    <w:p w14:paraId="637A9450"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illustrate, the first set of critical questions focusing on the message are displayed in an assessment–decision pathway as follows (see Figure 1):</w:t>
      </w:r>
    </w:p>
    <w:p w14:paraId="7098B413" w14:textId="77777777" w:rsidR="0064348E" w:rsidRDefault="0064348E">
      <w:pPr>
        <w:spacing w:after="0" w:line="240" w:lineRule="auto"/>
        <w:rPr>
          <w:rFonts w:ascii="Times New Roman" w:eastAsia="Times New Roman" w:hAnsi="Times New Roman" w:cs="Times New Roman"/>
          <w:sz w:val="24"/>
          <w:szCs w:val="24"/>
        </w:rPr>
      </w:pPr>
    </w:p>
    <w:p w14:paraId="2D413623"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1</w:t>
      </w:r>
    </w:p>
    <w:p w14:paraId="39C6B2A9" w14:textId="77777777" w:rsidR="0064348E" w:rsidRDefault="0064348E">
      <w:pPr>
        <w:spacing w:after="0" w:line="240" w:lineRule="auto"/>
        <w:rPr>
          <w:rFonts w:ascii="Times New Roman" w:eastAsia="Times New Roman" w:hAnsi="Times New Roman" w:cs="Times New Roman"/>
          <w:sz w:val="24"/>
          <w:szCs w:val="24"/>
        </w:rPr>
      </w:pPr>
    </w:p>
    <w:p w14:paraId="16C0BDFC"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AB7178E" wp14:editId="3D0F8A23">
            <wp:extent cx="5943600" cy="3356610"/>
            <wp:effectExtent l="0" t="0" r="0" b="0"/>
            <wp:docPr id="1621489449" name="image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computer&#10;&#10;Description automatically generated"/>
                    <pic:cNvPicPr preferRelativeResize="0"/>
                  </pic:nvPicPr>
                  <pic:blipFill>
                    <a:blip r:embed="rId7"/>
                    <a:srcRect/>
                    <a:stretch>
                      <a:fillRect/>
                    </a:stretch>
                  </pic:blipFill>
                  <pic:spPr>
                    <a:xfrm>
                      <a:off x="0" y="0"/>
                      <a:ext cx="5943600" cy="3356610"/>
                    </a:xfrm>
                    <a:prstGeom prst="rect">
                      <a:avLst/>
                    </a:prstGeom>
                    <a:ln/>
                  </pic:spPr>
                </pic:pic>
              </a:graphicData>
            </a:graphic>
          </wp:inline>
        </w:drawing>
      </w:r>
    </w:p>
    <w:p w14:paraId="7B45360C" w14:textId="77777777" w:rsidR="0064348E" w:rsidRDefault="0064348E">
      <w:pPr>
        <w:spacing w:after="0" w:line="240" w:lineRule="auto"/>
        <w:ind w:firstLine="720"/>
        <w:jc w:val="both"/>
        <w:rPr>
          <w:rFonts w:ascii="Times New Roman" w:eastAsia="Times New Roman" w:hAnsi="Times New Roman" w:cs="Times New Roman"/>
          <w:sz w:val="24"/>
          <w:szCs w:val="24"/>
        </w:rPr>
      </w:pPr>
    </w:p>
    <w:p w14:paraId="293771D5" w14:textId="77777777" w:rsidR="0064348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analyzing </w:t>
      </w:r>
      <w:r>
        <w:rPr>
          <w:rFonts w:ascii="Times New Roman" w:eastAsia="Times New Roman" w:hAnsi="Times New Roman" w:cs="Times New Roman"/>
          <w:i/>
          <w:iCs/>
          <w:sz w:val="24"/>
          <w:szCs w:val="24"/>
        </w:rPr>
        <w:t>the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message</w:t>
      </w: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KQ 1 is: </w:t>
      </w:r>
      <w:r>
        <w:rPr>
          <w:rFonts w:ascii="Times New Roman" w:eastAsia="Times New Roman" w:hAnsi="Times New Roman" w:cs="Times New Roman"/>
          <w:i/>
          <w:iCs/>
          <w:sz w:val="24"/>
          <w:szCs w:val="24"/>
        </w:rPr>
        <w:t>Does the writing answer the question or conform to the text structure?</w:t>
      </w:r>
      <w:r>
        <w:rPr>
          <w:rFonts w:ascii="Times New Roman" w:eastAsia="Times New Roman" w:hAnsi="Times New Roman" w:cs="Times New Roman"/>
          <w:sz w:val="24"/>
          <w:szCs w:val="24"/>
        </w:rPr>
        <w:t xml:space="preserve"> If yes, then, the student’s writing can be analyzed a second time with KQ 2 which is: </w:t>
      </w:r>
      <w:r>
        <w:rPr>
          <w:rFonts w:ascii="Times New Roman" w:eastAsia="Times New Roman" w:hAnsi="Times New Roman" w:cs="Times New Roman"/>
          <w:i/>
          <w:iCs/>
          <w:sz w:val="24"/>
          <w:szCs w:val="24"/>
        </w:rPr>
        <w:t>Does the writer express their ideas clearly using the language used?</w:t>
      </w:r>
      <w:r>
        <w:rPr>
          <w:rFonts w:ascii="Times New Roman" w:eastAsia="Times New Roman" w:hAnsi="Times New Roman" w:cs="Times New Roman"/>
          <w:sz w:val="24"/>
          <w:szCs w:val="24"/>
        </w:rPr>
        <w:t xml:space="preserve"> Advanced students will typically have checked their work using a word processor or bilingual word checker. For these students, their work will then be evaluated according to KQ 3 which is: </w:t>
      </w:r>
      <w:r>
        <w:rPr>
          <w:rFonts w:ascii="Times New Roman" w:eastAsia="Times New Roman" w:hAnsi="Times New Roman" w:cs="Times New Roman"/>
          <w:i/>
          <w:iCs/>
          <w:sz w:val="24"/>
          <w:szCs w:val="24"/>
        </w:rPr>
        <w:t>Does this writing reflect the performance of most learners at this stage of development?</w:t>
      </w:r>
      <w:r>
        <w:rPr>
          <w:rFonts w:ascii="Times New Roman" w:eastAsia="Times New Roman" w:hAnsi="Times New Roman" w:cs="Times New Roman"/>
          <w:sz w:val="24"/>
          <w:szCs w:val="24"/>
        </w:rPr>
        <w:t xml:space="preserve"> for which most learners’ writing will be on par with their peers’. </w:t>
      </w:r>
    </w:p>
    <w:p w14:paraId="4F16BB70" w14:textId="77777777" w:rsidR="0064348E" w:rsidRDefault="0064348E">
      <w:pPr>
        <w:spacing w:after="0" w:line="240" w:lineRule="auto"/>
        <w:jc w:val="both"/>
        <w:rPr>
          <w:rFonts w:ascii="Times New Roman" w:eastAsia="Times New Roman" w:hAnsi="Times New Roman" w:cs="Times New Roman"/>
          <w:sz w:val="24"/>
          <w:szCs w:val="24"/>
        </w:rPr>
      </w:pPr>
    </w:p>
    <w:p w14:paraId="3621A755" w14:textId="77777777" w:rsidR="0064348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students whose work did not meet the criteria in step 1 require further teaching, modeling, and practice in writing. An intervention flow chart would include instructional decisions as described in the circles below as is shown in Figure 2.</w:t>
      </w:r>
    </w:p>
    <w:p w14:paraId="441D3415" w14:textId="77777777" w:rsidR="0064348E" w:rsidRDefault="0064348E">
      <w:pPr>
        <w:spacing w:after="0" w:line="240" w:lineRule="auto"/>
        <w:jc w:val="both"/>
        <w:rPr>
          <w:rFonts w:ascii="Times New Roman" w:eastAsia="Times New Roman" w:hAnsi="Times New Roman" w:cs="Times New Roman"/>
          <w:sz w:val="24"/>
          <w:szCs w:val="24"/>
        </w:rPr>
      </w:pPr>
    </w:p>
    <w:p w14:paraId="2F63D90E" w14:textId="77777777" w:rsidR="0064348E" w:rsidRDefault="0064348E">
      <w:pPr>
        <w:spacing w:after="0" w:line="240" w:lineRule="auto"/>
        <w:jc w:val="both"/>
        <w:rPr>
          <w:rFonts w:ascii="Times New Roman" w:eastAsia="Times New Roman" w:hAnsi="Times New Roman" w:cs="Times New Roman"/>
          <w:sz w:val="24"/>
          <w:szCs w:val="24"/>
        </w:rPr>
      </w:pPr>
    </w:p>
    <w:p w14:paraId="248AB63E" w14:textId="77777777" w:rsidR="0064348E" w:rsidRDefault="0064348E">
      <w:pPr>
        <w:spacing w:after="0" w:line="240" w:lineRule="auto"/>
        <w:jc w:val="both"/>
        <w:rPr>
          <w:rFonts w:ascii="Times New Roman" w:eastAsia="Times New Roman" w:hAnsi="Times New Roman" w:cs="Times New Roman"/>
          <w:sz w:val="24"/>
          <w:szCs w:val="24"/>
        </w:rPr>
      </w:pPr>
    </w:p>
    <w:p w14:paraId="787E3F4A" w14:textId="77777777" w:rsidR="0064348E" w:rsidRDefault="0064348E">
      <w:pPr>
        <w:spacing w:after="0" w:line="240" w:lineRule="auto"/>
        <w:jc w:val="both"/>
        <w:rPr>
          <w:rFonts w:ascii="Times New Roman" w:eastAsia="Times New Roman" w:hAnsi="Times New Roman" w:cs="Times New Roman"/>
          <w:sz w:val="24"/>
          <w:szCs w:val="24"/>
        </w:rPr>
      </w:pPr>
    </w:p>
    <w:p w14:paraId="1E4EE0C3" w14:textId="77777777" w:rsidR="0064348E"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Figure 2</w:t>
      </w:r>
    </w:p>
    <w:p w14:paraId="53115B73" w14:textId="77777777" w:rsidR="0064348E" w:rsidRDefault="0064348E">
      <w:pPr>
        <w:spacing w:after="0" w:line="240" w:lineRule="auto"/>
        <w:jc w:val="both"/>
        <w:rPr>
          <w:rFonts w:ascii="Times New Roman" w:eastAsia="Times New Roman" w:hAnsi="Times New Roman" w:cs="Times New Roman"/>
          <w:sz w:val="24"/>
          <w:szCs w:val="24"/>
        </w:rPr>
      </w:pPr>
    </w:p>
    <w:p w14:paraId="5BEE36F9"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8333B9B" wp14:editId="00826974">
            <wp:extent cx="5943600" cy="3342005"/>
            <wp:effectExtent l="0" t="0" r="0" b="0"/>
            <wp:docPr id="1621489451" name="image2.png" descr="A screenshot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diagram&#10;&#10;Description automatically generated"/>
                    <pic:cNvPicPr preferRelativeResize="0"/>
                  </pic:nvPicPr>
                  <pic:blipFill>
                    <a:blip r:embed="rId8"/>
                    <a:srcRect/>
                    <a:stretch>
                      <a:fillRect/>
                    </a:stretch>
                  </pic:blipFill>
                  <pic:spPr>
                    <a:xfrm>
                      <a:off x="0" y="0"/>
                      <a:ext cx="5943600" cy="3342005"/>
                    </a:xfrm>
                    <a:prstGeom prst="rect">
                      <a:avLst/>
                    </a:prstGeom>
                    <a:ln/>
                  </pic:spPr>
                </pic:pic>
              </a:graphicData>
            </a:graphic>
          </wp:inline>
        </w:drawing>
      </w:r>
    </w:p>
    <w:p w14:paraId="5CBFD362" w14:textId="77777777" w:rsidR="0064348E" w:rsidRDefault="0064348E">
      <w:pPr>
        <w:spacing w:after="0"/>
        <w:ind w:firstLine="720"/>
        <w:rPr>
          <w:rFonts w:ascii="Times New Roman" w:eastAsia="Times New Roman" w:hAnsi="Times New Roman" w:cs="Times New Roman"/>
          <w:sz w:val="24"/>
          <w:szCs w:val="24"/>
        </w:rPr>
      </w:pPr>
    </w:p>
    <w:p w14:paraId="461D4A24"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analysis is the </w:t>
      </w:r>
      <w:r>
        <w:rPr>
          <w:rFonts w:ascii="Times New Roman" w:eastAsia="Times New Roman" w:hAnsi="Times New Roman" w:cs="Times New Roman"/>
          <w:i/>
          <w:iCs/>
          <w:sz w:val="24"/>
          <w:szCs w:val="24"/>
        </w:rPr>
        <w:t>complexity of language</w:t>
      </w:r>
      <w:r>
        <w:rPr>
          <w:rFonts w:ascii="Times New Roman" w:eastAsia="Times New Roman" w:hAnsi="Times New Roman" w:cs="Times New Roman"/>
          <w:sz w:val="24"/>
          <w:szCs w:val="24"/>
        </w:rPr>
        <w:t xml:space="preserve"> for which we verify which genre is being instructed to attend to the specific language needed to write (an argument, poetry, recipes/procedures, historical timeline, etc.). The analyses continue in the same sequence examining the complexity of language used with three key questions. KQ 1 assesses whether the student understands the genre of writing: </w:t>
      </w:r>
      <w:r>
        <w:rPr>
          <w:rFonts w:ascii="Times New Roman" w:eastAsia="Times New Roman" w:hAnsi="Times New Roman" w:cs="Times New Roman"/>
          <w:i/>
          <w:iCs/>
          <w:sz w:val="24"/>
          <w:szCs w:val="24"/>
        </w:rPr>
        <w:t>Does the language used express the writer’s ideas appropriately for this genre?</w:t>
      </w:r>
      <w:r>
        <w:rPr>
          <w:rFonts w:ascii="Times New Roman" w:eastAsia="Times New Roman" w:hAnsi="Times New Roman" w:cs="Times New Roman"/>
          <w:sz w:val="24"/>
          <w:szCs w:val="24"/>
        </w:rPr>
        <w:t xml:space="preserve"> (Yes/No). Once their understanding of the type of text is established, KQ 2 assesses the clarity of writing by asking: </w:t>
      </w:r>
      <w:r>
        <w:rPr>
          <w:rFonts w:ascii="Times New Roman" w:eastAsia="Times New Roman" w:hAnsi="Times New Roman" w:cs="Times New Roman"/>
          <w:i/>
          <w:iCs/>
          <w:sz w:val="24"/>
          <w:szCs w:val="24"/>
        </w:rPr>
        <w:t>Does the writer express their ideas clearly; are their ideas comprehensible?</w:t>
      </w:r>
      <w:r>
        <w:rPr>
          <w:rFonts w:ascii="Times New Roman" w:eastAsia="Times New Roman" w:hAnsi="Times New Roman" w:cs="Times New Roman"/>
          <w:sz w:val="24"/>
          <w:szCs w:val="24"/>
        </w:rPr>
        <w:t xml:space="preserve"> (Yes/No). Then KQ 3 assesses the mastery of the text genre in comparison with understanding shown by other learners and asks: </w:t>
      </w:r>
      <w:r>
        <w:rPr>
          <w:rFonts w:ascii="Times New Roman" w:eastAsia="Times New Roman" w:hAnsi="Times New Roman" w:cs="Times New Roman"/>
          <w:i/>
          <w:iCs/>
          <w:sz w:val="24"/>
          <w:szCs w:val="24"/>
        </w:rPr>
        <w:t xml:space="preserve">Does this writing reflect the performance of most learners at this level of development for this text genre and the examples analyzed in class and for homework? </w:t>
      </w:r>
      <w:r>
        <w:rPr>
          <w:rFonts w:ascii="Times New Roman" w:eastAsia="Times New Roman" w:hAnsi="Times New Roman" w:cs="Times New Roman"/>
          <w:sz w:val="24"/>
          <w:szCs w:val="24"/>
        </w:rPr>
        <w:t>(Yes/No). The aim is to have learners compose strong pieces of writing and powerful responses while attending to elements of language (grammar, vocabulary range/control).</w:t>
      </w:r>
    </w:p>
    <w:p w14:paraId="6CB2245D" w14:textId="77777777" w:rsidR="0064348E" w:rsidRDefault="0064348E">
      <w:pPr>
        <w:spacing w:after="0"/>
        <w:rPr>
          <w:rFonts w:ascii="Times New Roman" w:eastAsia="Times New Roman" w:hAnsi="Times New Roman" w:cs="Times New Roman"/>
          <w:sz w:val="24"/>
          <w:szCs w:val="24"/>
        </w:rPr>
      </w:pPr>
    </w:p>
    <w:p w14:paraId="0929E319"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set of critical questions focusing on the complexity of language are displayed in an assessment–decision pathway as the one presented below (see Figure 3):</w:t>
      </w:r>
    </w:p>
    <w:p w14:paraId="26F9EB5C" w14:textId="77777777" w:rsidR="0064348E" w:rsidRDefault="0064348E">
      <w:pPr>
        <w:spacing w:after="0"/>
        <w:rPr>
          <w:rFonts w:ascii="Times New Roman" w:eastAsia="Times New Roman" w:hAnsi="Times New Roman" w:cs="Times New Roman"/>
          <w:sz w:val="24"/>
          <w:szCs w:val="24"/>
        </w:rPr>
      </w:pPr>
    </w:p>
    <w:p w14:paraId="5CC6E184"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Figure 3</w:t>
      </w:r>
    </w:p>
    <w:p w14:paraId="54C66E87" w14:textId="77777777" w:rsidR="0064348E" w:rsidRDefault="0064348E">
      <w:pPr>
        <w:spacing w:after="0"/>
        <w:ind w:firstLine="720"/>
        <w:rPr>
          <w:rFonts w:ascii="Times New Roman" w:eastAsia="Times New Roman" w:hAnsi="Times New Roman" w:cs="Times New Roman"/>
          <w:sz w:val="24"/>
          <w:szCs w:val="24"/>
        </w:rPr>
      </w:pPr>
    </w:p>
    <w:p w14:paraId="5B8B0842"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261426D6" wp14:editId="6E22B336">
            <wp:extent cx="5943600" cy="3340735"/>
            <wp:effectExtent l="0" t="0" r="0" b="0"/>
            <wp:docPr id="1621489450" name="image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screenshot of a computer&#10;&#10;Description automatically generated"/>
                    <pic:cNvPicPr preferRelativeResize="0"/>
                  </pic:nvPicPr>
                  <pic:blipFill>
                    <a:blip r:embed="rId9"/>
                    <a:srcRect/>
                    <a:stretch>
                      <a:fillRect/>
                    </a:stretch>
                  </pic:blipFill>
                  <pic:spPr>
                    <a:xfrm>
                      <a:off x="0" y="0"/>
                      <a:ext cx="5943600" cy="3340735"/>
                    </a:xfrm>
                    <a:prstGeom prst="rect">
                      <a:avLst/>
                    </a:prstGeom>
                    <a:ln/>
                  </pic:spPr>
                </pic:pic>
              </a:graphicData>
            </a:graphic>
          </wp:inline>
        </w:drawing>
      </w:r>
    </w:p>
    <w:p w14:paraId="7FC8B64C" w14:textId="77777777" w:rsidR="0064348E" w:rsidRDefault="0064348E">
      <w:pPr>
        <w:spacing w:after="0" w:line="240" w:lineRule="auto"/>
        <w:rPr>
          <w:rFonts w:ascii="Times New Roman" w:eastAsia="Times New Roman" w:hAnsi="Times New Roman" w:cs="Times New Roman"/>
          <w:sz w:val="24"/>
          <w:szCs w:val="24"/>
        </w:rPr>
      </w:pPr>
    </w:p>
    <w:p w14:paraId="52067825" w14:textId="77777777" w:rsidR="0064348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 assessment conferences with students in need of additional modeling on the use of complex language structures and assistance in editing their work would be subjected to an intervention following instructional decisions as displayed in the flow chart here (see Figure 4):</w:t>
      </w:r>
    </w:p>
    <w:p w14:paraId="5D3C0B11" w14:textId="77777777" w:rsidR="0064348E" w:rsidRDefault="0064348E">
      <w:pPr>
        <w:spacing w:after="0"/>
        <w:rPr>
          <w:rFonts w:ascii="Times New Roman" w:eastAsia="Times New Roman" w:hAnsi="Times New Roman" w:cs="Times New Roman"/>
          <w:sz w:val="24"/>
          <w:szCs w:val="24"/>
        </w:rPr>
      </w:pPr>
    </w:p>
    <w:p w14:paraId="63816D08"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Figure 4</w:t>
      </w:r>
    </w:p>
    <w:p w14:paraId="7740AE49" w14:textId="77777777" w:rsidR="0064348E" w:rsidRDefault="0064348E">
      <w:pPr>
        <w:spacing w:after="0"/>
        <w:rPr>
          <w:rFonts w:ascii="Times New Roman" w:eastAsia="Times New Roman" w:hAnsi="Times New Roman" w:cs="Times New Roman"/>
          <w:sz w:val="24"/>
          <w:szCs w:val="24"/>
        </w:rPr>
      </w:pPr>
    </w:p>
    <w:p w14:paraId="076B1352"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442114C" wp14:editId="359E576B">
            <wp:extent cx="5943600" cy="3342005"/>
            <wp:effectExtent l="0" t="0" r="0" b="0"/>
            <wp:docPr id="1621489453" name="image6.png" descr="A screenshot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screenshot of a diagram&#10;&#10;Description automatically generated"/>
                    <pic:cNvPicPr preferRelativeResize="0"/>
                  </pic:nvPicPr>
                  <pic:blipFill>
                    <a:blip r:embed="rId10"/>
                    <a:srcRect/>
                    <a:stretch>
                      <a:fillRect/>
                    </a:stretch>
                  </pic:blipFill>
                  <pic:spPr>
                    <a:xfrm>
                      <a:off x="0" y="0"/>
                      <a:ext cx="5943600" cy="3342005"/>
                    </a:xfrm>
                    <a:prstGeom prst="rect">
                      <a:avLst/>
                    </a:prstGeom>
                    <a:ln/>
                  </pic:spPr>
                </pic:pic>
              </a:graphicData>
            </a:graphic>
          </wp:inline>
        </w:drawing>
      </w:r>
    </w:p>
    <w:p w14:paraId="31D0DA60" w14:textId="77777777" w:rsidR="0064348E" w:rsidRDefault="0064348E">
      <w:pPr>
        <w:spacing w:after="0"/>
        <w:rPr>
          <w:rFonts w:ascii="Times New Roman" w:eastAsia="Times New Roman" w:hAnsi="Times New Roman" w:cs="Times New Roman"/>
          <w:sz w:val="24"/>
          <w:szCs w:val="24"/>
        </w:rPr>
      </w:pPr>
    </w:p>
    <w:p w14:paraId="34566772" w14:textId="77777777" w:rsidR="0064348E" w:rsidRDefault="0064348E">
      <w:pPr>
        <w:spacing w:after="0"/>
        <w:rPr>
          <w:rFonts w:ascii="Times New Roman" w:eastAsia="Times New Roman" w:hAnsi="Times New Roman" w:cs="Times New Roman"/>
          <w:sz w:val="24"/>
          <w:szCs w:val="24"/>
        </w:rPr>
      </w:pPr>
    </w:p>
    <w:p w14:paraId="71CB60B2"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third analysis is </w:t>
      </w:r>
      <w:r>
        <w:rPr>
          <w:rFonts w:ascii="Times New Roman" w:eastAsia="Times New Roman" w:hAnsi="Times New Roman" w:cs="Times New Roman"/>
          <w:i/>
          <w:iCs/>
          <w:sz w:val="24"/>
          <w:szCs w:val="24"/>
        </w:rPr>
        <w:t>fluency</w:t>
      </w:r>
      <w:r>
        <w:rPr>
          <w:rFonts w:ascii="Times New Roman" w:eastAsia="Times New Roman" w:hAnsi="Times New Roman" w:cs="Times New Roman"/>
          <w:sz w:val="24"/>
          <w:szCs w:val="24"/>
        </w:rPr>
        <w:t xml:space="preserve"> or </w:t>
      </w:r>
      <w:r>
        <w:rPr>
          <w:rFonts w:ascii="Times New Roman" w:eastAsia="Times New Roman" w:hAnsi="Times New Roman" w:cs="Times New Roman"/>
          <w:i/>
          <w:iCs/>
          <w:sz w:val="24"/>
          <w:szCs w:val="24"/>
        </w:rPr>
        <w:t>coherence</w:t>
      </w:r>
      <w:r>
        <w:rPr>
          <w:rFonts w:ascii="Times New Roman" w:eastAsia="Times New Roman" w:hAnsi="Times New Roman" w:cs="Times New Roman"/>
          <w:sz w:val="24"/>
          <w:szCs w:val="24"/>
        </w:rPr>
        <w:t xml:space="preserve">, seeing if the writing reads smoothly from beginning to end, if it is comprehensible, and whether it reflects the level of development in writing aimed for based on the number of lessons given and the feedback provided. A sample assessment–decision pathway for </w:t>
      </w:r>
      <w:r>
        <w:rPr>
          <w:rFonts w:ascii="Times New Roman" w:eastAsia="Times New Roman" w:hAnsi="Times New Roman" w:cs="Times New Roman"/>
          <w:i/>
          <w:iCs/>
          <w:sz w:val="24"/>
          <w:szCs w:val="24"/>
        </w:rPr>
        <w:t>fluency</w:t>
      </w:r>
      <w:r>
        <w:rPr>
          <w:rFonts w:ascii="Times New Roman" w:eastAsia="Times New Roman" w:hAnsi="Times New Roman" w:cs="Times New Roman"/>
          <w:sz w:val="24"/>
          <w:szCs w:val="24"/>
        </w:rPr>
        <w:t xml:space="preserve"> in expression is shown below. The writing must conform with the type of text studied. Therefore KQ 1 asks: </w:t>
      </w:r>
      <w:r>
        <w:rPr>
          <w:rFonts w:ascii="Times New Roman" w:eastAsia="Times New Roman" w:hAnsi="Times New Roman" w:cs="Times New Roman"/>
          <w:i/>
          <w:iCs/>
          <w:sz w:val="24"/>
          <w:szCs w:val="24"/>
        </w:rPr>
        <w:t>Does the writing conform to the text genre from beginning to end?</w:t>
      </w:r>
      <w:r>
        <w:rPr>
          <w:rFonts w:ascii="Times New Roman" w:eastAsia="Times New Roman" w:hAnsi="Times New Roman" w:cs="Times New Roman"/>
          <w:sz w:val="24"/>
          <w:szCs w:val="24"/>
        </w:rPr>
        <w:t xml:space="preserve"> KQ 2 further analyses how the entire piece of writing flows by asking: </w:t>
      </w:r>
      <w:r>
        <w:rPr>
          <w:rFonts w:ascii="Times New Roman" w:eastAsia="Times New Roman" w:hAnsi="Times New Roman" w:cs="Times New Roman"/>
          <w:i/>
          <w:iCs/>
          <w:sz w:val="24"/>
          <w:szCs w:val="24"/>
        </w:rPr>
        <w:t xml:space="preserve">Does the writer express their ideas comprehensibly? Does the writing read with </w:t>
      </w:r>
      <w:r>
        <w:rPr>
          <w:rFonts w:ascii="Times New Roman" w:eastAsia="Times New Roman" w:hAnsi="Times New Roman" w:cs="Times New Roman"/>
          <w:b/>
          <w:bCs/>
          <w:i/>
          <w:iCs/>
          <w:sz w:val="24"/>
          <w:szCs w:val="24"/>
        </w:rPr>
        <w:t>ease</w:t>
      </w:r>
      <w:r>
        <w:rPr>
          <w:rFonts w:ascii="Times New Roman" w:eastAsia="Times New Roman" w:hAnsi="Times New Roman" w:cs="Times New Roman"/>
          <w:i/>
          <w:iCs/>
          <w:sz w:val="24"/>
          <w:szCs w:val="24"/>
        </w:rPr>
        <w:t xml:space="preserve"> and </w:t>
      </w:r>
      <w:r>
        <w:rPr>
          <w:rFonts w:ascii="Times New Roman" w:eastAsia="Times New Roman" w:hAnsi="Times New Roman" w:cs="Times New Roman"/>
          <w:b/>
          <w:bCs/>
          <w:i/>
          <w:iCs/>
          <w:sz w:val="24"/>
          <w:szCs w:val="24"/>
        </w:rPr>
        <w:t>spontaneity</w:t>
      </w:r>
      <w:r>
        <w:rPr>
          <w:rFonts w:ascii="Times New Roman" w:eastAsia="Times New Roman" w:hAnsi="Times New Roman" w:cs="Times New Roman"/>
          <w:i/>
          <w:iCs/>
          <w:sz w:val="24"/>
          <w:szCs w:val="24"/>
        </w:rPr>
        <w:t xml:space="preserve"> of expression? That is, does the text flow such that it is coherent and easily understood?</w:t>
      </w:r>
      <w:r>
        <w:rPr>
          <w:rFonts w:ascii="Times New Roman" w:eastAsia="Times New Roman" w:hAnsi="Times New Roman" w:cs="Times New Roman"/>
          <w:sz w:val="24"/>
          <w:szCs w:val="24"/>
        </w:rPr>
        <w:t xml:space="preserve"> </w:t>
      </w:r>
    </w:p>
    <w:p w14:paraId="2249762A" w14:textId="77777777" w:rsidR="0064348E" w:rsidRDefault="0064348E">
      <w:pPr>
        <w:spacing w:after="0"/>
        <w:rPr>
          <w:rFonts w:ascii="Times New Roman" w:eastAsia="Times New Roman" w:hAnsi="Times New Roman" w:cs="Times New Roman"/>
          <w:sz w:val="24"/>
          <w:szCs w:val="24"/>
        </w:rPr>
      </w:pPr>
    </w:p>
    <w:p w14:paraId="7746F981"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a student’s overall writing skills are assessed in comparison with the writing of others in the class and the level to which feedback </w:t>
      </w:r>
      <w:proofErr w:type="gramStart"/>
      <w:r>
        <w:rPr>
          <w:rFonts w:ascii="Times New Roman" w:eastAsia="Times New Roman" w:hAnsi="Times New Roman" w:cs="Times New Roman"/>
          <w:sz w:val="24"/>
          <w:szCs w:val="24"/>
        </w:rPr>
        <w:t>given</w:t>
      </w:r>
      <w:proofErr w:type="gramEnd"/>
      <w:r>
        <w:rPr>
          <w:rFonts w:ascii="Times New Roman" w:eastAsia="Times New Roman" w:hAnsi="Times New Roman" w:cs="Times New Roman"/>
          <w:sz w:val="24"/>
          <w:szCs w:val="24"/>
        </w:rPr>
        <w:t xml:space="preserve"> in assessment conversations (i.e., individual conferences) is integrated into different revisions. As presented in Figure 5, KQ 3 asks: </w:t>
      </w:r>
      <w:r>
        <w:rPr>
          <w:rFonts w:ascii="Times New Roman" w:eastAsia="Times New Roman" w:hAnsi="Times New Roman" w:cs="Times New Roman"/>
          <w:i/>
          <w:iCs/>
          <w:sz w:val="24"/>
          <w:szCs w:val="24"/>
        </w:rPr>
        <w:t>Does this writing reflect the performance of most learners at this level of development for this text genre based on the number of lessons and one–to–one conferences provided during this unit?</w:t>
      </w:r>
      <w:r>
        <w:rPr>
          <w:rFonts w:ascii="Times New Roman" w:eastAsia="Times New Roman" w:hAnsi="Times New Roman" w:cs="Times New Roman"/>
          <w:sz w:val="24"/>
          <w:szCs w:val="24"/>
        </w:rPr>
        <w:t xml:space="preserve"> </w:t>
      </w:r>
    </w:p>
    <w:p w14:paraId="78DEB84E" w14:textId="77777777" w:rsidR="0064348E" w:rsidRDefault="0064348E">
      <w:pPr>
        <w:spacing w:after="0"/>
        <w:rPr>
          <w:rFonts w:ascii="Times New Roman" w:eastAsia="Times New Roman" w:hAnsi="Times New Roman" w:cs="Times New Roman"/>
          <w:sz w:val="24"/>
          <w:szCs w:val="24"/>
        </w:rPr>
      </w:pPr>
    </w:p>
    <w:p w14:paraId="13517EA7"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Figure 5</w:t>
      </w:r>
    </w:p>
    <w:p w14:paraId="387478F4" w14:textId="77777777" w:rsidR="0064348E" w:rsidRDefault="0064348E">
      <w:pPr>
        <w:spacing w:after="0"/>
        <w:rPr>
          <w:rFonts w:ascii="Times New Roman" w:eastAsia="Times New Roman" w:hAnsi="Times New Roman" w:cs="Times New Roman"/>
          <w:sz w:val="24"/>
          <w:szCs w:val="24"/>
        </w:rPr>
      </w:pPr>
    </w:p>
    <w:p w14:paraId="6750E987"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68C704D" wp14:editId="24BCF7F1">
            <wp:extent cx="5943600" cy="3359150"/>
            <wp:effectExtent l="0" t="0" r="0" b="0"/>
            <wp:docPr id="1621489452" name="image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screenshot of a computer&#10;&#10;Description automatically generated"/>
                    <pic:cNvPicPr preferRelativeResize="0"/>
                  </pic:nvPicPr>
                  <pic:blipFill>
                    <a:blip r:embed="rId11"/>
                    <a:srcRect/>
                    <a:stretch>
                      <a:fillRect/>
                    </a:stretch>
                  </pic:blipFill>
                  <pic:spPr>
                    <a:xfrm>
                      <a:off x="0" y="0"/>
                      <a:ext cx="5943600" cy="3359150"/>
                    </a:xfrm>
                    <a:prstGeom prst="rect">
                      <a:avLst/>
                    </a:prstGeom>
                    <a:ln/>
                  </pic:spPr>
                </pic:pic>
              </a:graphicData>
            </a:graphic>
          </wp:inline>
        </w:drawing>
      </w:r>
    </w:p>
    <w:p w14:paraId="261BC56C" w14:textId="77777777" w:rsidR="0064348E" w:rsidRDefault="0064348E">
      <w:pPr>
        <w:spacing w:after="0"/>
        <w:ind w:firstLine="720"/>
        <w:rPr>
          <w:rFonts w:ascii="Times New Roman" w:eastAsia="Times New Roman" w:hAnsi="Times New Roman" w:cs="Times New Roman"/>
          <w:sz w:val="24"/>
          <w:szCs w:val="24"/>
        </w:rPr>
      </w:pPr>
    </w:p>
    <w:p w14:paraId="127190DC"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An assessment–decision pathway is designed as shown below, and this completes the three analyses (see Figure 6). The decision to continue helping low achieving students is made depending on their performance and their responses to the interventions provided as increasingly complex text structures are refined.</w:t>
      </w:r>
    </w:p>
    <w:p w14:paraId="29CF0C7C" w14:textId="77777777" w:rsidR="0064348E" w:rsidRDefault="0064348E">
      <w:pPr>
        <w:spacing w:after="0"/>
        <w:rPr>
          <w:rFonts w:ascii="Times New Roman" w:eastAsia="Times New Roman" w:hAnsi="Times New Roman" w:cs="Times New Roman"/>
          <w:sz w:val="24"/>
          <w:szCs w:val="24"/>
        </w:rPr>
      </w:pPr>
    </w:p>
    <w:p w14:paraId="071EAC3E" w14:textId="77777777" w:rsidR="0064348E" w:rsidRDefault="0064348E">
      <w:pPr>
        <w:spacing w:after="0"/>
        <w:rPr>
          <w:rFonts w:ascii="Times New Roman" w:eastAsia="Times New Roman" w:hAnsi="Times New Roman" w:cs="Times New Roman"/>
          <w:sz w:val="24"/>
          <w:szCs w:val="24"/>
        </w:rPr>
      </w:pPr>
    </w:p>
    <w:p w14:paraId="3EC28D08" w14:textId="77777777" w:rsidR="0064348E" w:rsidRDefault="0064348E">
      <w:pPr>
        <w:spacing w:after="0"/>
        <w:rPr>
          <w:rFonts w:ascii="Times New Roman" w:eastAsia="Times New Roman" w:hAnsi="Times New Roman" w:cs="Times New Roman"/>
          <w:sz w:val="24"/>
          <w:szCs w:val="24"/>
        </w:rPr>
      </w:pPr>
    </w:p>
    <w:p w14:paraId="48A942D3"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Figure 6</w:t>
      </w:r>
    </w:p>
    <w:p w14:paraId="2075671B" w14:textId="77777777" w:rsidR="0064348E" w:rsidRDefault="0064348E">
      <w:pPr>
        <w:spacing w:after="0"/>
        <w:rPr>
          <w:rFonts w:ascii="Times New Roman" w:eastAsia="Times New Roman" w:hAnsi="Times New Roman" w:cs="Times New Roman"/>
          <w:sz w:val="24"/>
          <w:szCs w:val="24"/>
        </w:rPr>
      </w:pPr>
    </w:p>
    <w:p w14:paraId="5301311A"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0809459" wp14:editId="5FC7CBDC">
            <wp:extent cx="5943600" cy="3343910"/>
            <wp:effectExtent l="0" t="0" r="0" b="0"/>
            <wp:docPr id="1621489448" name="image5.png" descr="A diagram of a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5.png" descr="A diagram of a text&#10;&#10;Description automatically generated with medium confidence"/>
                    <pic:cNvPicPr preferRelativeResize="0"/>
                  </pic:nvPicPr>
                  <pic:blipFill>
                    <a:blip r:embed="rId12"/>
                    <a:srcRect/>
                    <a:stretch>
                      <a:fillRect/>
                    </a:stretch>
                  </pic:blipFill>
                  <pic:spPr>
                    <a:xfrm>
                      <a:off x="0" y="0"/>
                      <a:ext cx="5943600" cy="3343910"/>
                    </a:xfrm>
                    <a:prstGeom prst="rect">
                      <a:avLst/>
                    </a:prstGeom>
                    <a:ln/>
                  </pic:spPr>
                </pic:pic>
              </a:graphicData>
            </a:graphic>
          </wp:inline>
        </w:drawing>
      </w:r>
    </w:p>
    <w:p w14:paraId="6FC5986C" w14:textId="77777777" w:rsidR="0064348E" w:rsidRDefault="0064348E">
      <w:pPr>
        <w:spacing w:after="0"/>
        <w:ind w:firstLine="720"/>
        <w:rPr>
          <w:rFonts w:ascii="Times New Roman" w:eastAsia="Times New Roman" w:hAnsi="Times New Roman" w:cs="Times New Roman"/>
          <w:sz w:val="24"/>
          <w:szCs w:val="24"/>
        </w:rPr>
      </w:pPr>
    </w:p>
    <w:p w14:paraId="0A75493F" w14:textId="77777777" w:rsidR="0064348E" w:rsidRDefault="00000000">
      <w:pPr>
        <w:spacing w:after="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Conclusions </w:t>
      </w:r>
    </w:p>
    <w:p w14:paraId="5087997A" w14:textId="77777777" w:rsidR="0064348E" w:rsidRDefault="0064348E">
      <w:pPr>
        <w:spacing w:after="0"/>
        <w:ind w:firstLine="720"/>
        <w:rPr>
          <w:rFonts w:ascii="Times New Roman" w:eastAsia="Times New Roman" w:hAnsi="Times New Roman" w:cs="Times New Roman"/>
          <w:sz w:val="24"/>
          <w:szCs w:val="24"/>
        </w:rPr>
      </w:pPr>
    </w:p>
    <w:p w14:paraId="7D17C1DF"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Conforming to Field’s (2013) definition of cognitive validity, this adaptation of the binary model assures that assessment tasks elicit a set of processes that resemble proficient use in the real world, extrapolating literacy skills from texts studied, and that the processes of writing, editing, and refining the language used are fine grain assessed and graded across increasing levels of cognitive demands.</w:t>
      </w:r>
    </w:p>
    <w:p w14:paraId="13757F13" w14:textId="77777777" w:rsidR="0064348E" w:rsidRDefault="0064348E">
      <w:pPr>
        <w:spacing w:after="0"/>
        <w:rPr>
          <w:rFonts w:ascii="Times New Roman" w:eastAsia="Times New Roman" w:hAnsi="Times New Roman" w:cs="Times New Roman"/>
          <w:sz w:val="24"/>
          <w:szCs w:val="24"/>
        </w:rPr>
      </w:pPr>
    </w:p>
    <w:p w14:paraId="1D98C782" w14:textId="77777777" w:rsidR="0064348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aim to optimize student performance, the iterative process of revising texts with individual learners offers authentic, efficient, reliable, and valid classroom–based assessment. Triple–A analyses are one way all learners can be brought closer to meeting program expectations, learning goals, and improve their educational and career opportunities.  </w:t>
      </w:r>
    </w:p>
    <w:p w14:paraId="092A8445" w14:textId="77777777" w:rsidR="0064348E" w:rsidRDefault="0064348E">
      <w:pPr>
        <w:spacing w:after="0"/>
        <w:rPr>
          <w:rFonts w:ascii="Times New Roman" w:eastAsia="Times New Roman" w:hAnsi="Times New Roman" w:cs="Times New Roman"/>
          <w:sz w:val="24"/>
          <w:szCs w:val="24"/>
        </w:rPr>
      </w:pPr>
    </w:p>
    <w:p w14:paraId="3F210DD4" w14:textId="77777777" w:rsidR="0064348E" w:rsidRDefault="0000000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References </w:t>
      </w:r>
    </w:p>
    <w:p w14:paraId="721C51C8" w14:textId="77777777" w:rsidR="0064348E" w:rsidRDefault="0064348E">
      <w:pPr>
        <w:spacing w:after="0" w:line="240" w:lineRule="auto"/>
        <w:jc w:val="center"/>
        <w:rPr>
          <w:rFonts w:ascii="Times New Roman" w:eastAsia="Times New Roman" w:hAnsi="Times New Roman" w:cs="Times New Roman"/>
          <w:sz w:val="24"/>
          <w:szCs w:val="24"/>
        </w:rPr>
      </w:pPr>
    </w:p>
    <w:p w14:paraId="437A68B5" w14:textId="77777777" w:rsidR="0064348E" w:rsidRDefault="00000000">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Baker, B., &amp; Newman, H. (2023). </w:t>
      </w:r>
      <w:r>
        <w:rPr>
          <w:rFonts w:ascii="Times New Roman" w:eastAsia="Times New Roman" w:hAnsi="Times New Roman" w:cs="Times New Roman"/>
          <w:i/>
          <w:iCs/>
          <w:sz w:val="24"/>
          <w:szCs w:val="24"/>
        </w:rPr>
        <w:t>EBB rating scale bootcamp</w:t>
      </w:r>
      <w:r>
        <w:rPr>
          <w:rFonts w:ascii="Times New Roman" w:eastAsia="Times New Roman" w:hAnsi="Times New Roman" w:cs="Times New Roman"/>
          <w:sz w:val="24"/>
          <w:szCs w:val="24"/>
        </w:rPr>
        <w:t>. Workshop presented at the 19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European Association for Language Testing and Assessment (EALTA) Conference on Sustainable Language Assessment: Improving Educational Opportunities at the Individual, Local, and Global Level (13‒18 June 2023) in Helsinki, Finland.</w:t>
      </w:r>
    </w:p>
    <w:p w14:paraId="4A0FB5C1" w14:textId="77777777" w:rsidR="0064348E" w:rsidRDefault="0064348E">
      <w:pPr>
        <w:spacing w:after="0" w:line="240" w:lineRule="auto"/>
        <w:ind w:left="720" w:hanging="720"/>
        <w:rPr>
          <w:rFonts w:ascii="Times New Roman" w:eastAsia="Times New Roman" w:hAnsi="Times New Roman" w:cs="Times New Roman"/>
          <w:sz w:val="24"/>
          <w:szCs w:val="24"/>
        </w:rPr>
      </w:pPr>
    </w:p>
    <w:p w14:paraId="57BC8A53" w14:textId="77777777" w:rsidR="0064348E" w:rsidRDefault="00000000">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P. J., &amp; Wiliam, D. (1998). Assessment and classroom learning. </w:t>
      </w:r>
      <w:r>
        <w:rPr>
          <w:rFonts w:ascii="Times New Roman" w:eastAsia="Times New Roman" w:hAnsi="Times New Roman" w:cs="Times New Roman"/>
          <w:i/>
          <w:iCs/>
          <w:sz w:val="24"/>
          <w:szCs w:val="24"/>
        </w:rPr>
        <w:t>Assessment in Education: Principles, Policy and Practice, 5</w:t>
      </w:r>
      <w:r>
        <w:rPr>
          <w:rFonts w:ascii="Times New Roman" w:eastAsia="Times New Roman" w:hAnsi="Times New Roman" w:cs="Times New Roman"/>
          <w:sz w:val="24"/>
          <w:szCs w:val="24"/>
        </w:rPr>
        <w:t>(1), 7–74. https://doi10.1080/0969595980050102</w:t>
      </w:r>
    </w:p>
    <w:p w14:paraId="77136A7D" w14:textId="77777777" w:rsidR="0064348E" w:rsidRDefault="0064348E">
      <w:pPr>
        <w:spacing w:after="0" w:line="240" w:lineRule="auto"/>
        <w:ind w:left="720" w:hanging="720"/>
        <w:rPr>
          <w:rFonts w:ascii="Times New Roman" w:eastAsia="Times New Roman" w:hAnsi="Times New Roman" w:cs="Times New Roman"/>
          <w:sz w:val="24"/>
          <w:szCs w:val="24"/>
        </w:rPr>
      </w:pPr>
    </w:p>
    <w:p w14:paraId="3EE94388" w14:textId="77777777" w:rsidR="0064348E" w:rsidRDefault="00000000">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Field, J. (2013). Cognitive validity. In A. </w:t>
      </w:r>
      <w:proofErr w:type="spellStart"/>
      <w:r>
        <w:rPr>
          <w:rFonts w:ascii="Times New Roman" w:eastAsia="Times New Roman" w:hAnsi="Times New Roman" w:cs="Times New Roman"/>
          <w:sz w:val="24"/>
          <w:szCs w:val="24"/>
        </w:rPr>
        <w:t>Geranpayeh</w:t>
      </w:r>
      <w:proofErr w:type="spellEnd"/>
      <w:r>
        <w:rPr>
          <w:rFonts w:ascii="Times New Roman" w:eastAsia="Times New Roman" w:hAnsi="Times New Roman" w:cs="Times New Roman"/>
          <w:sz w:val="24"/>
          <w:szCs w:val="24"/>
        </w:rPr>
        <w:t xml:space="preserve"> &amp; L. Taylor (Eds.), </w:t>
      </w:r>
      <w:r>
        <w:rPr>
          <w:rFonts w:ascii="Times New Roman" w:eastAsia="Times New Roman" w:hAnsi="Times New Roman" w:cs="Times New Roman"/>
          <w:i/>
          <w:iCs/>
          <w:sz w:val="24"/>
          <w:szCs w:val="24"/>
        </w:rPr>
        <w:t>Examining listening: Research and practice in assessing second language</w:t>
      </w:r>
      <w:r>
        <w:rPr>
          <w:rFonts w:ascii="Times New Roman" w:eastAsia="Times New Roman" w:hAnsi="Times New Roman" w:cs="Times New Roman"/>
          <w:sz w:val="24"/>
          <w:szCs w:val="24"/>
        </w:rPr>
        <w:t xml:space="preserve"> (pp. 77–151). Cambridge University Press. </w:t>
      </w:r>
    </w:p>
    <w:p w14:paraId="15D097A5" w14:textId="77777777" w:rsidR="0064348E" w:rsidRDefault="0064348E">
      <w:pPr>
        <w:spacing w:after="0" w:line="240" w:lineRule="auto"/>
        <w:ind w:left="720" w:hanging="720"/>
        <w:rPr>
          <w:rFonts w:ascii="Times New Roman" w:eastAsia="Times New Roman" w:hAnsi="Times New Roman" w:cs="Times New Roman"/>
          <w:sz w:val="24"/>
          <w:szCs w:val="24"/>
        </w:rPr>
      </w:pPr>
    </w:p>
    <w:p w14:paraId="7E56433E" w14:textId="77777777" w:rsidR="0064348E" w:rsidRDefault="00000000">
      <w:pPr>
        <w:spacing w:after="0" w:line="240" w:lineRule="auto"/>
        <w:ind w:left="720" w:hanging="720"/>
      </w:pPr>
      <w:r>
        <w:rPr>
          <w:rFonts w:ascii="Times New Roman" w:eastAsia="Times New Roman" w:hAnsi="Times New Roman" w:cs="Times New Roman"/>
          <w:sz w:val="24"/>
          <w:szCs w:val="24"/>
        </w:rPr>
        <w:t xml:space="preserve">Turner, C. E., &amp; Upshur, J. A. </w:t>
      </w:r>
      <w:r>
        <w:rPr>
          <w:rFonts w:ascii="Times New Roman" w:eastAsia="Times New Roman" w:hAnsi="Times New Roman" w:cs="Times New Roman"/>
          <w:color w:val="222222"/>
          <w:sz w:val="24"/>
          <w:szCs w:val="24"/>
          <w:highlight w:val="white"/>
        </w:rPr>
        <w:t>(1996). Developing rating scales for the assessment of second language performance. </w:t>
      </w:r>
      <w:r>
        <w:rPr>
          <w:rFonts w:ascii="Times New Roman" w:eastAsia="Times New Roman" w:hAnsi="Times New Roman" w:cs="Times New Roman"/>
          <w:i/>
          <w:iCs/>
          <w:color w:val="222222"/>
          <w:sz w:val="24"/>
          <w:szCs w:val="24"/>
          <w:highlight w:val="white"/>
        </w:rPr>
        <w:t>Australian Review of Applied Linguistics. Series 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 xml:space="preserve">(1), 55‒79. </w:t>
      </w:r>
      <w:hyperlink r:id="rId13">
        <w:r>
          <w:rPr>
            <w:rFonts w:ascii="Times New Roman" w:eastAsia="Times New Roman" w:hAnsi="Times New Roman" w:cs="Times New Roman"/>
            <w:color w:val="131C3C"/>
            <w:sz w:val="24"/>
            <w:szCs w:val="24"/>
            <w:highlight w:val="white"/>
          </w:rPr>
          <w:t>https://doi.org/10.1075/aralss.13.04tur</w:t>
        </w:r>
      </w:hyperlink>
    </w:p>
    <w:p w14:paraId="4E5EAB77" w14:textId="77777777" w:rsidR="0064348E" w:rsidRDefault="0064348E">
      <w:pPr>
        <w:spacing w:after="0" w:line="240" w:lineRule="auto"/>
        <w:ind w:left="720" w:hanging="720"/>
      </w:pPr>
    </w:p>
    <w:p w14:paraId="20E4DD82" w14:textId="77777777" w:rsidR="0064348E" w:rsidRDefault="0064348E">
      <w:pPr>
        <w:spacing w:after="0" w:line="240" w:lineRule="auto"/>
        <w:ind w:left="720" w:hanging="720"/>
        <w:rPr>
          <w:rFonts w:ascii="Times New Roman" w:eastAsia="Times New Roman" w:hAnsi="Times New Roman" w:cs="Times New Roman"/>
          <w:sz w:val="24"/>
          <w:szCs w:val="24"/>
        </w:rPr>
      </w:pPr>
    </w:p>
    <w:p w14:paraId="07127F93" w14:textId="77777777" w:rsidR="0064348E" w:rsidRDefault="00000000">
      <w:pPr>
        <w:spacing w:after="0" w:line="240" w:lineRule="auto"/>
        <w:rPr>
          <w:rFonts w:ascii="Times New Roman" w:eastAsia="Times New Roman" w:hAnsi="Times New Roman" w:cs="Times New Roman"/>
          <w:b/>
          <w:bCs/>
          <w:sz w:val="24"/>
          <w:szCs w:val="24"/>
        </w:rPr>
      </w:pPr>
      <w:bookmarkStart w:id="0" w:name="_heading=h.9l3wzxyljjy7" w:colFirst="0" w:colLast="0"/>
      <w:bookmarkEnd w:id="0"/>
      <w:r>
        <w:rPr>
          <w:rFonts w:ascii="Times New Roman" w:eastAsia="Times New Roman" w:hAnsi="Times New Roman" w:cs="Times New Roman"/>
          <w:b/>
          <w:bCs/>
          <w:sz w:val="24"/>
          <w:szCs w:val="24"/>
        </w:rPr>
        <w:t xml:space="preserve">Please check the </w:t>
      </w:r>
      <w:r>
        <w:rPr>
          <w:rFonts w:ascii="Times New Roman" w:eastAsia="Times New Roman" w:hAnsi="Times New Roman" w:cs="Times New Roman"/>
          <w:b/>
          <w:bCs/>
          <w:sz w:val="24"/>
          <w:szCs w:val="24"/>
          <w:u w:val="single"/>
        </w:rPr>
        <w:t>Pilgrims in Segovia Teacher Training courses 2026</w:t>
      </w:r>
      <w:r>
        <w:rPr>
          <w:rFonts w:ascii="Times New Roman" w:eastAsia="Times New Roman" w:hAnsi="Times New Roman" w:cs="Times New Roman"/>
          <w:b/>
          <w:bCs/>
          <w:sz w:val="24"/>
          <w:szCs w:val="24"/>
        </w:rPr>
        <w:t xml:space="preserve"> at Pilgrims website.</w:t>
      </w:r>
    </w:p>
    <w:p w14:paraId="6BB4D87B" w14:textId="77777777" w:rsidR="0064348E" w:rsidRDefault="0064348E">
      <w:pPr>
        <w:spacing w:after="0" w:line="240" w:lineRule="auto"/>
        <w:ind w:left="720" w:hanging="720"/>
        <w:rPr>
          <w:rFonts w:ascii="Times New Roman" w:eastAsia="Times New Roman" w:hAnsi="Times New Roman" w:cs="Times New Roman"/>
          <w:sz w:val="24"/>
          <w:szCs w:val="24"/>
        </w:rPr>
      </w:pPr>
    </w:p>
    <w:p w14:paraId="13E1DBBA" w14:textId="77777777" w:rsidR="0064348E" w:rsidRDefault="0064348E"/>
    <w:sectPr w:rsidR="0064348E">
      <w:head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9FCF4" w14:textId="77777777" w:rsidR="00877B9B" w:rsidRDefault="00877B9B">
      <w:pPr>
        <w:spacing w:after="0" w:line="240" w:lineRule="auto"/>
      </w:pPr>
      <w:r>
        <w:separator/>
      </w:r>
    </w:p>
  </w:endnote>
  <w:endnote w:type="continuationSeparator" w:id="0">
    <w:p w14:paraId="30C36643" w14:textId="77777777" w:rsidR="00877B9B" w:rsidRDefault="00877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embedRegular r:id="rId1" w:fontKey="{59360E96-C8FB-4004-BCB2-88185745D062}"/>
    <w:embedBold r:id="rId2" w:fontKey="{424E2505-6394-47AF-9C07-7D2D1EEDDBAD}"/>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Italic r:id="rId3" w:fontKey="{5132E314-22A5-4DD0-BFAF-ECFB25BF2BF4}"/>
  </w:font>
  <w:font w:name="Calibri Light">
    <w:panose1 w:val="020F0302020204030204"/>
    <w:charset w:val="EE"/>
    <w:family w:val="swiss"/>
    <w:pitch w:val="variable"/>
    <w:sig w:usb0="E4002EFF" w:usb1="C000247B" w:usb2="00000009" w:usb3="00000000" w:csb0="000001FF" w:csb1="00000000"/>
    <w:embedRegular r:id="rId4" w:fontKey="{A99E1241-6DD6-42C5-9B3F-8FC4A91B2AB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0041C" w14:textId="77777777" w:rsidR="00877B9B" w:rsidRDefault="00877B9B">
      <w:pPr>
        <w:spacing w:after="0" w:line="240" w:lineRule="auto"/>
      </w:pPr>
      <w:r>
        <w:separator/>
      </w:r>
    </w:p>
  </w:footnote>
  <w:footnote w:type="continuationSeparator" w:id="0">
    <w:p w14:paraId="29FBD33F" w14:textId="77777777" w:rsidR="00877B9B" w:rsidRDefault="00877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EED8B" w14:textId="77777777" w:rsidR="0064348E" w:rsidRDefault="0064348E">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p>
  <w:p w14:paraId="1E6BA47F" w14:textId="77777777" w:rsidR="0064348E" w:rsidRDefault="0064348E">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48E"/>
    <w:rsid w:val="0064348E"/>
    <w:rsid w:val="007B765E"/>
    <w:rsid w:val="00877B9B"/>
    <w:rsid w:val="008B7D17"/>
    <w:rsid w:val="00E83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E7353"/>
  <w15:docId w15:val="{DFDA805F-F780-4B02-9253-0C341DF0B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8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F61"/>
  </w:style>
  <w:style w:type="paragraph" w:styleId="Footer">
    <w:name w:val="footer"/>
    <w:basedOn w:val="Normal"/>
    <w:link w:val="FooterChar"/>
    <w:uiPriority w:val="99"/>
    <w:unhideWhenUsed/>
    <w:rsid w:val="008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F61"/>
  </w:style>
  <w:style w:type="character" w:styleId="Hyperlink">
    <w:name w:val="Hyperlink"/>
    <w:basedOn w:val="DefaultParagraphFont"/>
    <w:uiPriority w:val="99"/>
    <w:semiHidden/>
    <w:unhideWhenUsed/>
    <w:rsid w:val="00AF68DF"/>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75/aralss.13.04tu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WIA4cl9guuUHWHE0J7X+qJ2hiw==">CgMxLjAyDmguOWwzd3p4eWxqank3OAByITFSZjd4SVVXRzNRNUVSaDlTOTlWTVgteTZNWURKQUdZNA==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1428</Words>
  <Characters>7926</Characters>
  <Application>Microsoft Office Word</Application>
  <DocSecurity>0</DocSecurity>
  <Lines>172</Lines>
  <Paragraphs>40</Paragraphs>
  <ScaleCrop>false</ScaleCrop>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Semeniuk</dc:creator>
  <cp:lastModifiedBy>Hanna Kryszewska</cp:lastModifiedBy>
  <cp:revision>3</cp:revision>
  <dcterms:created xsi:type="dcterms:W3CDTF">2026-01-24T17:30:00Z</dcterms:created>
  <dcterms:modified xsi:type="dcterms:W3CDTF">2026-01-24T17:31:00Z</dcterms:modified>
</cp:coreProperties>
</file>