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1618B63" w14:textId="21BD665D" w:rsidR="00DF10FD" w:rsidRDefault="00CE2902" w:rsidP="00CC316C">
      <w:pPr>
        <w:rPr>
          <w:rFonts w:asciiTheme="majorBidi" w:hAnsiTheme="majorBidi" w:cstheme="majorBidi"/>
          <w:b/>
          <w:sz w:val="28"/>
          <w:szCs w:val="28"/>
        </w:rPr>
      </w:pPr>
      <w:r w:rsidRPr="00AC052D">
        <w:rPr>
          <w:rFonts w:asciiTheme="majorBidi" w:hAnsiTheme="majorBidi" w:cstheme="majorBidi"/>
          <w:b/>
          <w:sz w:val="28"/>
          <w:szCs w:val="28"/>
        </w:rPr>
        <w:t xml:space="preserve">Reclaiming the Human in Higher Education: A Call for Social and Emotional Learning (SEL) in the Age of AI </w:t>
      </w:r>
    </w:p>
    <w:p w14:paraId="7A0CCB55" w14:textId="77777777" w:rsidR="00AC052D" w:rsidRDefault="00AC052D">
      <w:pPr>
        <w:jc w:val="center"/>
        <w:rPr>
          <w:rFonts w:asciiTheme="majorBidi" w:hAnsiTheme="majorBidi" w:cstheme="majorBidi"/>
          <w:b/>
          <w:sz w:val="28"/>
          <w:szCs w:val="28"/>
        </w:rPr>
      </w:pPr>
    </w:p>
    <w:p w14:paraId="01087339" w14:textId="57E17C01" w:rsidR="00AC052D" w:rsidRDefault="00AC052D" w:rsidP="00CC316C">
      <w:pPr>
        <w:rPr>
          <w:rFonts w:asciiTheme="majorBidi" w:hAnsiTheme="majorBidi" w:cstheme="majorBidi"/>
          <w:b/>
          <w:sz w:val="24"/>
          <w:szCs w:val="24"/>
        </w:rPr>
      </w:pPr>
      <w:r w:rsidRPr="00AC052D">
        <w:rPr>
          <w:rFonts w:asciiTheme="majorBidi" w:hAnsiTheme="majorBidi" w:cstheme="majorBidi"/>
          <w:b/>
          <w:sz w:val="24"/>
          <w:szCs w:val="24"/>
        </w:rPr>
        <w:t>Jokha Al Hosni, Oman</w:t>
      </w:r>
    </w:p>
    <w:p w14:paraId="005F2396" w14:textId="5CE4D036" w:rsidR="00AC052D" w:rsidRDefault="00AC052D">
      <w:pPr>
        <w:jc w:val="center"/>
        <w:rPr>
          <w:rFonts w:asciiTheme="majorBidi" w:hAnsiTheme="majorBidi" w:cstheme="majorBidi"/>
          <w:b/>
          <w:sz w:val="24"/>
          <w:szCs w:val="24"/>
        </w:rPr>
      </w:pPr>
    </w:p>
    <w:p w14:paraId="062D1B40" w14:textId="3479542F" w:rsidR="00DF10FD" w:rsidRPr="00AC052D" w:rsidRDefault="00AC052D">
      <w:pPr>
        <w:rPr>
          <w:rFonts w:asciiTheme="majorBidi" w:hAnsiTheme="majorBidi" w:cstheme="majorBidi"/>
          <w:sz w:val="24"/>
          <w:szCs w:val="24"/>
        </w:rPr>
      </w:pPr>
      <w:r w:rsidRPr="00AC052D">
        <w:rPr>
          <w:rFonts w:asciiTheme="majorBidi" w:hAnsiTheme="majorBidi" w:cstheme="majorBidi"/>
          <w:sz w:val="24"/>
          <w:szCs w:val="24"/>
        </w:rPr>
        <w:t xml:space="preserve">Jokha Al Hosni is a senior instructor </w:t>
      </w:r>
      <w:r w:rsidR="00CE2902">
        <w:rPr>
          <w:rFonts w:asciiTheme="majorBidi" w:hAnsiTheme="majorBidi" w:cstheme="majorBidi"/>
          <w:sz w:val="24"/>
          <w:szCs w:val="24"/>
        </w:rPr>
        <w:t>in</w:t>
      </w:r>
      <w:r w:rsidRPr="00AC052D">
        <w:rPr>
          <w:rFonts w:asciiTheme="majorBidi" w:hAnsiTheme="majorBidi" w:cstheme="majorBidi"/>
          <w:sz w:val="24"/>
          <w:szCs w:val="24"/>
        </w:rPr>
        <w:t xml:space="preserve"> the Centre for Preparatory Studies at Sultan Qaboos University. She holds an MS in Curriculum and Instruction from Purdue University, USA. She has been teaching </w:t>
      </w:r>
      <w:r w:rsidR="00CE2902">
        <w:rPr>
          <w:rFonts w:asciiTheme="majorBidi" w:hAnsiTheme="majorBidi" w:cstheme="majorBidi"/>
          <w:sz w:val="24"/>
          <w:szCs w:val="24"/>
        </w:rPr>
        <w:t>E</w:t>
      </w:r>
      <w:r w:rsidR="0009498D">
        <w:rPr>
          <w:rFonts w:asciiTheme="majorBidi" w:hAnsiTheme="majorBidi" w:cstheme="majorBidi"/>
          <w:sz w:val="24"/>
          <w:szCs w:val="24"/>
        </w:rPr>
        <w:t>A</w:t>
      </w:r>
      <w:r w:rsidR="00CE2902">
        <w:rPr>
          <w:rFonts w:asciiTheme="majorBidi" w:hAnsiTheme="majorBidi" w:cstheme="majorBidi"/>
          <w:sz w:val="24"/>
          <w:szCs w:val="24"/>
        </w:rPr>
        <w:t xml:space="preserve">P courses </w:t>
      </w:r>
      <w:r w:rsidRPr="00AC052D">
        <w:rPr>
          <w:rFonts w:asciiTheme="majorBidi" w:hAnsiTheme="majorBidi" w:cstheme="majorBidi"/>
          <w:sz w:val="24"/>
          <w:szCs w:val="24"/>
        </w:rPr>
        <w:t>for</w:t>
      </w:r>
      <w:r w:rsidR="00CE2902">
        <w:rPr>
          <w:rFonts w:asciiTheme="majorBidi" w:hAnsiTheme="majorBidi" w:cstheme="majorBidi"/>
          <w:sz w:val="24"/>
          <w:szCs w:val="24"/>
        </w:rPr>
        <w:t xml:space="preserve"> 15</w:t>
      </w:r>
      <w:r w:rsidRPr="00AC052D">
        <w:rPr>
          <w:rFonts w:asciiTheme="majorBidi" w:hAnsiTheme="majorBidi" w:cstheme="majorBidi"/>
          <w:sz w:val="24"/>
          <w:szCs w:val="24"/>
        </w:rPr>
        <w:t xml:space="preserve"> years. Her research interests include curriculum design, language assessment, </w:t>
      </w:r>
      <w:r w:rsidR="0009498D">
        <w:rPr>
          <w:rFonts w:asciiTheme="majorBidi" w:hAnsiTheme="majorBidi" w:cstheme="majorBidi"/>
          <w:sz w:val="24"/>
          <w:szCs w:val="24"/>
        </w:rPr>
        <w:t>generative AI for language</w:t>
      </w:r>
      <w:r w:rsidRPr="00AC052D">
        <w:rPr>
          <w:rFonts w:asciiTheme="majorBidi" w:hAnsiTheme="majorBidi" w:cstheme="majorBidi"/>
          <w:sz w:val="24"/>
          <w:szCs w:val="24"/>
        </w:rPr>
        <w:t xml:space="preserve"> learning</w:t>
      </w:r>
      <w:r w:rsidR="00CE2902">
        <w:rPr>
          <w:rFonts w:asciiTheme="majorBidi" w:hAnsiTheme="majorBidi" w:cstheme="majorBidi"/>
          <w:sz w:val="24"/>
          <w:szCs w:val="24"/>
        </w:rPr>
        <w:t>, and social and emotional</w:t>
      </w:r>
      <w:r w:rsidRPr="00AC052D">
        <w:rPr>
          <w:rFonts w:asciiTheme="majorBidi" w:hAnsiTheme="majorBidi" w:cstheme="majorBidi"/>
          <w:sz w:val="24"/>
          <w:szCs w:val="24"/>
        </w:rPr>
        <w:t xml:space="preserve"> learning</w:t>
      </w:r>
      <w:r w:rsidR="00CE2902">
        <w:rPr>
          <w:rFonts w:asciiTheme="majorBidi" w:hAnsiTheme="majorBidi" w:cstheme="majorBidi"/>
          <w:sz w:val="24"/>
          <w:szCs w:val="24"/>
        </w:rPr>
        <w:t>.</w:t>
      </w:r>
    </w:p>
    <w:p w14:paraId="0B7B2844" w14:textId="77777777" w:rsidR="00DF10FD" w:rsidRPr="00AC052D" w:rsidRDefault="00DF10FD">
      <w:pPr>
        <w:rPr>
          <w:rFonts w:asciiTheme="majorBidi" w:hAnsiTheme="majorBidi" w:cstheme="majorBidi"/>
          <w:sz w:val="24"/>
          <w:szCs w:val="24"/>
        </w:rPr>
      </w:pPr>
    </w:p>
    <w:p w14:paraId="13717D9E" w14:textId="41358803" w:rsidR="00AC052D" w:rsidRPr="00AC052D" w:rsidRDefault="00AC052D" w:rsidP="00AC052D">
      <w:pPr>
        <w:spacing w:line="240" w:lineRule="auto"/>
        <w:rPr>
          <w:rFonts w:asciiTheme="majorBidi" w:hAnsiTheme="majorBidi" w:cstheme="majorBidi"/>
          <w:b/>
          <w:bCs/>
          <w:sz w:val="24"/>
          <w:szCs w:val="24"/>
        </w:rPr>
      </w:pPr>
      <w:r w:rsidRPr="00AC052D">
        <w:rPr>
          <w:rFonts w:asciiTheme="majorBidi" w:hAnsiTheme="majorBidi" w:cstheme="majorBidi"/>
          <w:b/>
          <w:bCs/>
          <w:sz w:val="24"/>
          <w:szCs w:val="24"/>
        </w:rPr>
        <w:t>Introduction</w:t>
      </w:r>
    </w:p>
    <w:p w14:paraId="3DAFA592" w14:textId="77777777" w:rsidR="00AC052D" w:rsidRPr="00AC052D" w:rsidRDefault="00AC052D" w:rsidP="00AC052D">
      <w:pPr>
        <w:spacing w:line="240" w:lineRule="auto"/>
        <w:rPr>
          <w:rFonts w:asciiTheme="majorBidi" w:hAnsiTheme="majorBidi" w:cstheme="majorBidi"/>
          <w:b/>
          <w:bCs/>
          <w:sz w:val="24"/>
          <w:szCs w:val="24"/>
        </w:rPr>
      </w:pPr>
    </w:p>
    <w:p w14:paraId="0EC46D28" w14:textId="6C1DD07D" w:rsidR="00DF10FD" w:rsidRDefault="00CE2902" w:rsidP="00AC052D">
      <w:pPr>
        <w:spacing w:line="240" w:lineRule="auto"/>
        <w:rPr>
          <w:rFonts w:asciiTheme="majorBidi" w:hAnsiTheme="majorBidi" w:cstheme="majorBidi"/>
          <w:sz w:val="24"/>
          <w:szCs w:val="24"/>
        </w:rPr>
      </w:pPr>
      <w:r w:rsidRPr="00AC052D">
        <w:rPr>
          <w:rFonts w:asciiTheme="majorBidi" w:hAnsiTheme="majorBidi" w:cstheme="majorBidi"/>
          <w:sz w:val="24"/>
          <w:szCs w:val="24"/>
        </w:rPr>
        <w:t>Human progress has evolved through distinct phases of skill emphasis. In early societies, physical strength was essential for survival and labor. With the Industrial Revolution, the focus shifted to mental capabilities, such as logic, analysis, and technical knowledge, which became the driving force of innovation and economic growth. Today, however, in an era defined by rapid technological change, social complexity, and artificial intelligence, emotional skills like empathy, self-awareness, and resilience have emerged as critical for thriving in both personal and professional life.</w:t>
      </w:r>
    </w:p>
    <w:p w14:paraId="4ED42E04" w14:textId="77777777" w:rsidR="00CE2902" w:rsidRPr="00AC052D" w:rsidRDefault="00CE2902" w:rsidP="00AC052D">
      <w:pPr>
        <w:spacing w:line="240" w:lineRule="auto"/>
        <w:rPr>
          <w:rFonts w:asciiTheme="majorBidi" w:hAnsiTheme="majorBidi" w:cstheme="majorBidi"/>
          <w:sz w:val="24"/>
          <w:szCs w:val="24"/>
        </w:rPr>
      </w:pPr>
    </w:p>
    <w:p w14:paraId="27D0D392" w14:textId="166F9AA6" w:rsidR="00DF10FD" w:rsidRPr="00AC052D" w:rsidRDefault="00CE2902" w:rsidP="00AC052D">
      <w:pPr>
        <w:spacing w:line="240" w:lineRule="auto"/>
        <w:rPr>
          <w:rFonts w:asciiTheme="majorBidi" w:hAnsiTheme="majorBidi" w:cstheme="majorBidi"/>
          <w:sz w:val="24"/>
          <w:szCs w:val="24"/>
        </w:rPr>
      </w:pPr>
      <w:r w:rsidRPr="00AC052D">
        <w:rPr>
          <w:rFonts w:asciiTheme="majorBidi" w:hAnsiTheme="majorBidi" w:cstheme="majorBidi"/>
          <w:sz w:val="24"/>
          <w:szCs w:val="24"/>
        </w:rPr>
        <w:t xml:space="preserve">According to the World Economic </w:t>
      </w:r>
      <w:r w:rsidR="001F6E1C" w:rsidRPr="00AC052D">
        <w:rPr>
          <w:rFonts w:asciiTheme="majorBidi" w:hAnsiTheme="majorBidi" w:cstheme="majorBidi"/>
          <w:sz w:val="24"/>
          <w:szCs w:val="24"/>
        </w:rPr>
        <w:t>Forum's 2025 report, at least 50% of the top 10 skills that employers will look for in the next five</w:t>
      </w:r>
      <w:r w:rsidRPr="00AC052D">
        <w:rPr>
          <w:rFonts w:asciiTheme="majorBidi" w:hAnsiTheme="majorBidi" w:cstheme="majorBidi"/>
          <w:sz w:val="24"/>
          <w:szCs w:val="24"/>
        </w:rPr>
        <w:t xml:space="preserve"> years are related to social and emotional competence (SEC). These skills include leadership and social influence, resilience, flexibility, agility, </w:t>
      </w:r>
      <w:r w:rsidR="001F6E1C" w:rsidRPr="00AC052D">
        <w:rPr>
          <w:rFonts w:asciiTheme="majorBidi" w:hAnsiTheme="majorBidi" w:cstheme="majorBidi"/>
          <w:sz w:val="24"/>
          <w:szCs w:val="24"/>
        </w:rPr>
        <w:t>self-awareness,</w:t>
      </w:r>
      <w:r w:rsidRPr="00AC052D">
        <w:rPr>
          <w:rFonts w:asciiTheme="majorBidi" w:hAnsiTheme="majorBidi" w:cstheme="majorBidi"/>
          <w:sz w:val="24"/>
          <w:szCs w:val="24"/>
        </w:rPr>
        <w:t xml:space="preserve"> and empathy (World Economic Forum, 2025). This raises a critical question: Are we truly equipping our undergraduate students to meet the demands of the modern workplace, and, more importantly, to navigate the broader challenges of life? In the age of AI, coupled with the relentless complexity of social media, human beings face unprecedented challenges that threaten their innate capacities to thrive as individuals within a human society. The constant digital bombardment and rapid information flow risk diminishing our abilities to connect deeply, empathize authentically, and manage emotional complexities. These skills are </w:t>
      </w:r>
      <w:r w:rsidR="001F6E1C" w:rsidRPr="00AC052D">
        <w:rPr>
          <w:rFonts w:asciiTheme="majorBidi" w:hAnsiTheme="majorBidi" w:cstheme="majorBidi"/>
          <w:sz w:val="24"/>
          <w:szCs w:val="24"/>
        </w:rPr>
        <w:t xml:space="preserve">crucial for fostering meaningful relationships and promoting </w:t>
      </w:r>
      <w:r w:rsidRPr="00AC052D">
        <w:rPr>
          <w:rFonts w:asciiTheme="majorBidi" w:hAnsiTheme="majorBidi" w:cstheme="majorBidi"/>
          <w:sz w:val="24"/>
          <w:szCs w:val="24"/>
        </w:rPr>
        <w:t xml:space="preserve">personal well-being. Yet, these are often sidelined in higher education, where the focus leans toward productivity, efficiency, and innovation through technology. </w:t>
      </w:r>
    </w:p>
    <w:p w14:paraId="528C8627" w14:textId="74037AAE" w:rsidR="00AC052D" w:rsidRPr="00AC052D" w:rsidRDefault="00AC052D" w:rsidP="00AC052D">
      <w:pPr>
        <w:spacing w:line="240" w:lineRule="auto"/>
        <w:rPr>
          <w:rFonts w:asciiTheme="majorBidi" w:hAnsiTheme="majorBidi" w:cstheme="majorBidi"/>
          <w:sz w:val="24"/>
          <w:szCs w:val="24"/>
        </w:rPr>
      </w:pPr>
    </w:p>
    <w:p w14:paraId="4486505C" w14:textId="55F2B429" w:rsidR="00AC052D" w:rsidRPr="00AC052D" w:rsidRDefault="00AC052D" w:rsidP="00AC052D">
      <w:pPr>
        <w:spacing w:line="240" w:lineRule="auto"/>
        <w:rPr>
          <w:rFonts w:asciiTheme="majorBidi" w:hAnsiTheme="majorBidi" w:cstheme="majorBidi"/>
          <w:b/>
          <w:bCs/>
          <w:sz w:val="24"/>
          <w:szCs w:val="24"/>
        </w:rPr>
      </w:pPr>
      <w:r w:rsidRPr="00AC052D">
        <w:rPr>
          <w:rFonts w:asciiTheme="majorBidi" w:hAnsiTheme="majorBidi" w:cstheme="majorBidi"/>
          <w:b/>
          <w:bCs/>
          <w:sz w:val="24"/>
          <w:szCs w:val="24"/>
        </w:rPr>
        <w:t>SEL Frameworks</w:t>
      </w:r>
    </w:p>
    <w:p w14:paraId="66AAA5AB" w14:textId="77777777" w:rsidR="00DD0903" w:rsidRPr="00AC052D" w:rsidRDefault="00DD0903" w:rsidP="00AC052D">
      <w:pPr>
        <w:spacing w:line="240" w:lineRule="auto"/>
        <w:rPr>
          <w:rFonts w:asciiTheme="majorBidi" w:hAnsiTheme="majorBidi" w:cstheme="majorBidi"/>
          <w:sz w:val="24"/>
          <w:szCs w:val="24"/>
        </w:rPr>
      </w:pPr>
    </w:p>
    <w:p w14:paraId="23130AEB" w14:textId="584C49DD" w:rsidR="00DD0903" w:rsidRPr="00AC052D" w:rsidRDefault="00CE2902" w:rsidP="00AC052D">
      <w:pPr>
        <w:spacing w:line="240" w:lineRule="auto"/>
        <w:rPr>
          <w:rFonts w:asciiTheme="majorBidi" w:hAnsiTheme="majorBidi" w:cstheme="majorBidi"/>
          <w:sz w:val="24"/>
          <w:szCs w:val="24"/>
        </w:rPr>
      </w:pPr>
      <w:r w:rsidRPr="00AC052D">
        <w:rPr>
          <w:rFonts w:asciiTheme="majorBidi" w:hAnsiTheme="majorBidi" w:cstheme="majorBidi"/>
          <w:sz w:val="24"/>
          <w:szCs w:val="24"/>
        </w:rPr>
        <w:t>Collaborative for Academic, Social and Emotional Learning (CASEL), a leading non-profit organization focused on advancing social and emotional learning (SEL) in education, defines SEL as “ the process through which all young people and adults acquire and apply the knowledge, skills, and attitudes to develop healthy identities, manage emotions and achieve personal and collective goals, feel and show empathy for others, establish and maintain supportive relationships, and make responsible and caring decisions” (CASEL,</w:t>
      </w:r>
      <w:r w:rsidR="000272EF">
        <w:rPr>
          <w:rFonts w:asciiTheme="majorBidi" w:hAnsiTheme="majorBidi" w:cstheme="majorBidi"/>
          <w:sz w:val="24"/>
          <w:szCs w:val="24"/>
        </w:rPr>
        <w:t xml:space="preserve"> </w:t>
      </w:r>
      <w:r w:rsidR="001F6E1C" w:rsidRPr="00AC052D">
        <w:rPr>
          <w:rFonts w:asciiTheme="majorBidi" w:hAnsiTheme="majorBidi" w:cstheme="majorBidi"/>
          <w:sz w:val="24"/>
          <w:szCs w:val="24"/>
        </w:rPr>
        <w:t>n.d</w:t>
      </w:r>
      <w:r w:rsidR="000272EF">
        <w:rPr>
          <w:rFonts w:asciiTheme="majorBidi" w:hAnsiTheme="majorBidi" w:cstheme="majorBidi"/>
          <w:sz w:val="24"/>
          <w:szCs w:val="24"/>
        </w:rPr>
        <w:t xml:space="preserve">., </w:t>
      </w:r>
      <w:r w:rsidRPr="00AC052D">
        <w:rPr>
          <w:rFonts w:asciiTheme="majorBidi" w:hAnsiTheme="majorBidi" w:cstheme="majorBidi"/>
          <w:sz w:val="24"/>
          <w:szCs w:val="24"/>
        </w:rPr>
        <w:t xml:space="preserve"> para.1). The CASEL framework known as </w:t>
      </w:r>
      <w:r w:rsidRPr="00AC052D">
        <w:rPr>
          <w:rFonts w:asciiTheme="majorBidi" w:hAnsiTheme="majorBidi" w:cstheme="majorBidi"/>
          <w:i/>
          <w:iCs/>
          <w:sz w:val="24"/>
          <w:szCs w:val="24"/>
        </w:rPr>
        <w:t>CASEL Wheel</w:t>
      </w:r>
      <w:r w:rsidRPr="00AC052D">
        <w:rPr>
          <w:rFonts w:asciiTheme="majorBidi" w:hAnsiTheme="majorBidi" w:cstheme="majorBidi"/>
          <w:sz w:val="24"/>
          <w:szCs w:val="24"/>
        </w:rPr>
        <w:t xml:space="preserve"> identifies five core social and emotional competencies circled by 4 key settings where students live and grow as illustrated in figure 1. This framework is popular across various educational systems globally due to its clarity, flexibility, and strong evidence base, making it a </w:t>
      </w:r>
      <w:r w:rsidR="001F6E1C" w:rsidRPr="00AC052D">
        <w:rPr>
          <w:rFonts w:asciiTheme="majorBidi" w:hAnsiTheme="majorBidi" w:cstheme="majorBidi"/>
          <w:sz w:val="24"/>
          <w:szCs w:val="24"/>
        </w:rPr>
        <w:t>practical</w:t>
      </w:r>
      <w:r w:rsidRPr="00AC052D">
        <w:rPr>
          <w:rFonts w:asciiTheme="majorBidi" w:hAnsiTheme="majorBidi" w:cstheme="majorBidi"/>
          <w:sz w:val="24"/>
          <w:szCs w:val="24"/>
        </w:rPr>
        <w:t xml:space="preserve"> tool for guiding SEL implementation at all levels of education.</w:t>
      </w:r>
      <w:r w:rsidR="0009498D">
        <w:rPr>
          <w:rFonts w:asciiTheme="majorBidi" w:hAnsiTheme="majorBidi" w:cstheme="majorBidi"/>
          <w:sz w:val="24"/>
          <w:szCs w:val="24"/>
        </w:rPr>
        <w:t xml:space="preserve"> </w:t>
      </w:r>
      <w:r w:rsidRPr="00AC052D">
        <w:rPr>
          <w:rFonts w:asciiTheme="majorBidi" w:hAnsiTheme="majorBidi" w:cstheme="majorBidi"/>
          <w:sz w:val="24"/>
          <w:szCs w:val="24"/>
        </w:rPr>
        <w:t xml:space="preserve">The Ecological Approaches to Social Emotional Learning (EASEL) Laboratory, led by Dr. Stephanie Jones of the Harvard Graduate School of </w:t>
      </w:r>
      <w:r w:rsidRPr="00AC052D">
        <w:rPr>
          <w:rFonts w:asciiTheme="majorBidi" w:hAnsiTheme="majorBidi" w:cstheme="majorBidi"/>
          <w:sz w:val="24"/>
          <w:szCs w:val="24"/>
        </w:rPr>
        <w:lastRenderedPageBreak/>
        <w:t>Education</w:t>
      </w:r>
      <w:r w:rsidR="001F6E1C" w:rsidRPr="00AC052D">
        <w:rPr>
          <w:rFonts w:asciiTheme="majorBidi" w:hAnsiTheme="majorBidi" w:cstheme="majorBidi"/>
          <w:sz w:val="24"/>
          <w:szCs w:val="24"/>
        </w:rPr>
        <w:t>,</w:t>
      </w:r>
      <w:r w:rsidRPr="00AC052D">
        <w:rPr>
          <w:rFonts w:asciiTheme="majorBidi" w:hAnsiTheme="majorBidi" w:cstheme="majorBidi"/>
          <w:sz w:val="24"/>
          <w:szCs w:val="24"/>
        </w:rPr>
        <w:t xml:space="preserve"> has </w:t>
      </w:r>
      <w:r w:rsidR="00C341B1">
        <w:rPr>
          <w:rFonts w:asciiTheme="majorBidi" w:hAnsiTheme="majorBidi" w:cstheme="majorBidi"/>
          <w:sz w:val="24"/>
          <w:szCs w:val="24"/>
        </w:rPr>
        <w:t>developed</w:t>
      </w:r>
      <w:r w:rsidR="00DD0903" w:rsidRPr="00AC052D">
        <w:rPr>
          <w:rFonts w:asciiTheme="majorBidi" w:hAnsiTheme="majorBidi" w:cstheme="majorBidi"/>
          <w:sz w:val="24"/>
          <w:szCs w:val="24"/>
        </w:rPr>
        <w:t xml:space="preserve"> smart and interactive</w:t>
      </w:r>
      <w:r w:rsidRPr="00AC052D">
        <w:rPr>
          <w:rFonts w:asciiTheme="majorBidi" w:hAnsiTheme="majorBidi" w:cstheme="majorBidi"/>
          <w:sz w:val="24"/>
          <w:szCs w:val="24"/>
        </w:rPr>
        <w:t xml:space="preserve"> </w:t>
      </w:r>
      <w:hyperlink r:id="rId5">
        <w:r w:rsidRPr="00AC052D">
          <w:rPr>
            <w:rFonts w:asciiTheme="majorBidi" w:hAnsiTheme="majorBidi" w:cstheme="majorBidi"/>
            <w:color w:val="1155CC"/>
            <w:sz w:val="24"/>
            <w:szCs w:val="24"/>
            <w:u w:val="single"/>
          </w:rPr>
          <w:t>Framework Profiles</w:t>
        </w:r>
      </w:hyperlink>
      <w:r w:rsidRPr="00AC052D">
        <w:rPr>
          <w:rFonts w:asciiTheme="majorBidi" w:hAnsiTheme="majorBidi" w:cstheme="majorBidi"/>
          <w:sz w:val="24"/>
          <w:szCs w:val="24"/>
        </w:rPr>
        <w:t xml:space="preserve"> for educators to </w:t>
      </w:r>
      <w:r w:rsidR="00C341B1">
        <w:rPr>
          <w:rFonts w:asciiTheme="majorBidi" w:hAnsiTheme="majorBidi" w:cstheme="majorBidi"/>
          <w:sz w:val="24"/>
          <w:szCs w:val="24"/>
        </w:rPr>
        <w:t>explore</w:t>
      </w:r>
      <w:r w:rsidRPr="00AC052D">
        <w:rPr>
          <w:rFonts w:asciiTheme="majorBidi" w:hAnsiTheme="majorBidi" w:cstheme="majorBidi"/>
          <w:sz w:val="24"/>
          <w:szCs w:val="24"/>
        </w:rPr>
        <w:t xml:space="preserve"> </w:t>
      </w:r>
      <w:r w:rsidR="0009498D">
        <w:rPr>
          <w:rFonts w:asciiTheme="majorBidi" w:hAnsiTheme="majorBidi" w:cstheme="majorBidi"/>
          <w:sz w:val="24"/>
          <w:szCs w:val="24"/>
        </w:rPr>
        <w:t>CASEL and</w:t>
      </w:r>
      <w:r w:rsidR="00C341B1">
        <w:rPr>
          <w:rFonts w:asciiTheme="majorBidi" w:hAnsiTheme="majorBidi" w:cstheme="majorBidi"/>
          <w:sz w:val="24"/>
          <w:szCs w:val="24"/>
        </w:rPr>
        <w:t xml:space="preserve"> a wide range of</w:t>
      </w:r>
      <w:r w:rsidR="0009498D">
        <w:rPr>
          <w:rFonts w:asciiTheme="majorBidi" w:hAnsiTheme="majorBidi" w:cstheme="majorBidi"/>
          <w:sz w:val="24"/>
          <w:szCs w:val="24"/>
        </w:rPr>
        <w:t xml:space="preserve"> other</w:t>
      </w:r>
      <w:r w:rsidRPr="00AC052D">
        <w:rPr>
          <w:rFonts w:asciiTheme="majorBidi" w:hAnsiTheme="majorBidi" w:cstheme="majorBidi"/>
          <w:sz w:val="24"/>
          <w:szCs w:val="24"/>
        </w:rPr>
        <w:t xml:space="preserve"> SEL frameworks</w:t>
      </w:r>
      <w:r w:rsidR="00C341B1">
        <w:rPr>
          <w:rFonts w:asciiTheme="majorBidi" w:hAnsiTheme="majorBidi" w:cstheme="majorBidi"/>
          <w:sz w:val="24"/>
          <w:szCs w:val="24"/>
        </w:rPr>
        <w:t xml:space="preserve"> with ease and clarity</w:t>
      </w:r>
      <w:r w:rsidRPr="00AC052D">
        <w:rPr>
          <w:rFonts w:asciiTheme="majorBidi" w:hAnsiTheme="majorBidi" w:cstheme="majorBidi"/>
          <w:sz w:val="24"/>
          <w:szCs w:val="24"/>
        </w:rPr>
        <w:t>.</w:t>
      </w:r>
    </w:p>
    <w:p w14:paraId="3CD9EE11" w14:textId="2AA9F4E8" w:rsidR="00AC052D" w:rsidRPr="00AC052D" w:rsidRDefault="00CE2902" w:rsidP="00AC052D">
      <w:pPr>
        <w:spacing w:line="240" w:lineRule="auto"/>
        <w:rPr>
          <w:rFonts w:asciiTheme="majorBidi" w:hAnsiTheme="majorBidi" w:cstheme="majorBidi"/>
          <w:sz w:val="24"/>
          <w:szCs w:val="24"/>
        </w:rPr>
      </w:pPr>
      <w:r w:rsidRPr="00AC052D">
        <w:rPr>
          <w:rFonts w:asciiTheme="majorBidi" w:hAnsiTheme="majorBidi" w:cstheme="majorBidi"/>
          <w:noProof/>
          <w:sz w:val="24"/>
          <w:szCs w:val="24"/>
        </w:rPr>
        <w:drawing>
          <wp:anchor distT="114300" distB="114300" distL="114300" distR="114300" simplePos="0" relativeHeight="251658240" behindDoc="0" locked="0" layoutInCell="1" hidden="0" allowOverlap="1" wp14:anchorId="182627BD" wp14:editId="49DD0EC1">
            <wp:simplePos x="0" y="0"/>
            <wp:positionH relativeFrom="margin">
              <wp:posOffset>1301066</wp:posOffset>
            </wp:positionH>
            <wp:positionV relativeFrom="paragraph">
              <wp:posOffset>148590</wp:posOffset>
            </wp:positionV>
            <wp:extent cx="2947035" cy="2859405"/>
            <wp:effectExtent l="0" t="0" r="5715" b="0"/>
            <wp:wrapSquare wrapText="bothSides" distT="114300" distB="114300" distL="114300" distR="114300"/>
            <wp:docPr id="1" name="image1.png" descr="CASEL framework"/>
            <wp:cNvGraphicFramePr/>
            <a:graphic xmlns:a="http://schemas.openxmlformats.org/drawingml/2006/main">
              <a:graphicData uri="http://schemas.openxmlformats.org/drawingml/2006/picture">
                <pic:pic xmlns:pic="http://schemas.openxmlformats.org/drawingml/2006/picture">
                  <pic:nvPicPr>
                    <pic:cNvPr id="0" name="image1.png" descr="CASEL framework"/>
                    <pic:cNvPicPr preferRelativeResize="0"/>
                  </pic:nvPicPr>
                  <pic:blipFill>
                    <a:blip r:embed="rId6"/>
                    <a:srcRect/>
                    <a:stretch>
                      <a:fillRect/>
                    </a:stretch>
                  </pic:blipFill>
                  <pic:spPr>
                    <a:xfrm>
                      <a:off x="0" y="0"/>
                      <a:ext cx="2947035" cy="2859405"/>
                    </a:xfrm>
                    <a:prstGeom prst="rect">
                      <a:avLst/>
                    </a:prstGeom>
                    <a:ln/>
                  </pic:spPr>
                </pic:pic>
              </a:graphicData>
            </a:graphic>
            <wp14:sizeRelH relativeFrom="margin">
              <wp14:pctWidth>0</wp14:pctWidth>
            </wp14:sizeRelH>
            <wp14:sizeRelV relativeFrom="margin">
              <wp14:pctHeight>0</wp14:pctHeight>
            </wp14:sizeRelV>
          </wp:anchor>
        </w:drawing>
      </w:r>
    </w:p>
    <w:p w14:paraId="39CF9AC2" w14:textId="38E0FF2B" w:rsidR="00CE2902" w:rsidRDefault="00CE2902" w:rsidP="00AC052D">
      <w:pPr>
        <w:spacing w:line="240" w:lineRule="auto"/>
        <w:rPr>
          <w:rFonts w:asciiTheme="majorBidi" w:hAnsiTheme="majorBidi" w:cstheme="majorBidi"/>
          <w:b/>
          <w:bCs/>
          <w:sz w:val="24"/>
          <w:szCs w:val="24"/>
        </w:rPr>
      </w:pPr>
    </w:p>
    <w:p w14:paraId="3E029E25" w14:textId="52010468" w:rsidR="00CE2902" w:rsidRDefault="00CE2902" w:rsidP="00AC052D">
      <w:pPr>
        <w:spacing w:line="240" w:lineRule="auto"/>
        <w:rPr>
          <w:rFonts w:asciiTheme="majorBidi" w:hAnsiTheme="majorBidi" w:cstheme="majorBidi"/>
          <w:b/>
          <w:bCs/>
          <w:sz w:val="24"/>
          <w:szCs w:val="24"/>
        </w:rPr>
      </w:pPr>
    </w:p>
    <w:p w14:paraId="2D0DD41B" w14:textId="77777777" w:rsidR="00CE2902" w:rsidRDefault="00CE2902" w:rsidP="00AC052D">
      <w:pPr>
        <w:spacing w:line="240" w:lineRule="auto"/>
        <w:rPr>
          <w:rFonts w:asciiTheme="majorBidi" w:hAnsiTheme="majorBidi" w:cstheme="majorBidi"/>
          <w:b/>
          <w:bCs/>
          <w:sz w:val="24"/>
          <w:szCs w:val="24"/>
        </w:rPr>
      </w:pPr>
    </w:p>
    <w:p w14:paraId="3036BE8D" w14:textId="55866AFB" w:rsidR="00CE2902" w:rsidRDefault="00CE2902" w:rsidP="00AC052D">
      <w:pPr>
        <w:spacing w:line="240" w:lineRule="auto"/>
        <w:rPr>
          <w:rFonts w:asciiTheme="majorBidi" w:hAnsiTheme="majorBidi" w:cstheme="majorBidi"/>
          <w:b/>
          <w:bCs/>
          <w:sz w:val="24"/>
          <w:szCs w:val="24"/>
        </w:rPr>
      </w:pPr>
    </w:p>
    <w:p w14:paraId="081B9DCD" w14:textId="77777777" w:rsidR="00CE2902" w:rsidRDefault="00CE2902" w:rsidP="00AC052D">
      <w:pPr>
        <w:spacing w:line="240" w:lineRule="auto"/>
        <w:rPr>
          <w:rFonts w:asciiTheme="majorBidi" w:hAnsiTheme="majorBidi" w:cstheme="majorBidi"/>
          <w:b/>
          <w:bCs/>
          <w:sz w:val="24"/>
          <w:szCs w:val="24"/>
        </w:rPr>
      </w:pPr>
    </w:p>
    <w:p w14:paraId="4DD83250" w14:textId="519AB44A" w:rsidR="00CE2902" w:rsidRDefault="00CE2902" w:rsidP="00AC052D">
      <w:pPr>
        <w:spacing w:line="240" w:lineRule="auto"/>
        <w:rPr>
          <w:rFonts w:asciiTheme="majorBidi" w:hAnsiTheme="majorBidi" w:cstheme="majorBidi"/>
          <w:b/>
          <w:bCs/>
          <w:sz w:val="24"/>
          <w:szCs w:val="24"/>
        </w:rPr>
      </w:pPr>
    </w:p>
    <w:p w14:paraId="2E06DF8E" w14:textId="77777777" w:rsidR="00CE2902" w:rsidRDefault="00CE2902" w:rsidP="00AC052D">
      <w:pPr>
        <w:spacing w:line="240" w:lineRule="auto"/>
        <w:rPr>
          <w:rFonts w:asciiTheme="majorBidi" w:hAnsiTheme="majorBidi" w:cstheme="majorBidi"/>
          <w:b/>
          <w:bCs/>
          <w:sz w:val="24"/>
          <w:szCs w:val="24"/>
        </w:rPr>
      </w:pPr>
    </w:p>
    <w:p w14:paraId="1C8E5100" w14:textId="77777777" w:rsidR="00CE2902" w:rsidRDefault="00CE2902" w:rsidP="00AC052D">
      <w:pPr>
        <w:spacing w:line="240" w:lineRule="auto"/>
        <w:rPr>
          <w:rFonts w:asciiTheme="majorBidi" w:hAnsiTheme="majorBidi" w:cstheme="majorBidi"/>
          <w:b/>
          <w:bCs/>
          <w:sz w:val="24"/>
          <w:szCs w:val="24"/>
        </w:rPr>
      </w:pPr>
    </w:p>
    <w:p w14:paraId="3E0C77AA" w14:textId="360476A5" w:rsidR="00CE2902" w:rsidRDefault="00CE2902" w:rsidP="00AC052D">
      <w:pPr>
        <w:spacing w:line="240" w:lineRule="auto"/>
        <w:rPr>
          <w:rFonts w:asciiTheme="majorBidi" w:hAnsiTheme="majorBidi" w:cstheme="majorBidi"/>
          <w:b/>
          <w:bCs/>
          <w:sz w:val="24"/>
          <w:szCs w:val="24"/>
        </w:rPr>
      </w:pPr>
    </w:p>
    <w:p w14:paraId="5D56D1A2" w14:textId="77777777" w:rsidR="00CE2902" w:rsidRDefault="00CE2902" w:rsidP="00AC052D">
      <w:pPr>
        <w:spacing w:line="240" w:lineRule="auto"/>
        <w:rPr>
          <w:rFonts w:asciiTheme="majorBidi" w:hAnsiTheme="majorBidi" w:cstheme="majorBidi"/>
          <w:b/>
          <w:bCs/>
          <w:sz w:val="24"/>
          <w:szCs w:val="24"/>
        </w:rPr>
      </w:pPr>
    </w:p>
    <w:p w14:paraId="4AC41202" w14:textId="77777777" w:rsidR="00CE2902" w:rsidRDefault="00CE2902" w:rsidP="00AC052D">
      <w:pPr>
        <w:spacing w:line="240" w:lineRule="auto"/>
        <w:rPr>
          <w:rFonts w:asciiTheme="majorBidi" w:hAnsiTheme="majorBidi" w:cstheme="majorBidi"/>
          <w:b/>
          <w:bCs/>
          <w:sz w:val="24"/>
          <w:szCs w:val="24"/>
        </w:rPr>
      </w:pPr>
    </w:p>
    <w:p w14:paraId="44E9466F" w14:textId="77777777" w:rsidR="00CE2902" w:rsidRDefault="00CE2902" w:rsidP="00AC052D">
      <w:pPr>
        <w:spacing w:line="240" w:lineRule="auto"/>
        <w:rPr>
          <w:rFonts w:asciiTheme="majorBidi" w:hAnsiTheme="majorBidi" w:cstheme="majorBidi"/>
          <w:b/>
          <w:bCs/>
          <w:sz w:val="24"/>
          <w:szCs w:val="24"/>
        </w:rPr>
      </w:pPr>
    </w:p>
    <w:p w14:paraId="6523869D" w14:textId="77777777" w:rsidR="00CE2902" w:rsidRDefault="00CE2902" w:rsidP="00AC052D">
      <w:pPr>
        <w:spacing w:line="240" w:lineRule="auto"/>
        <w:rPr>
          <w:rFonts w:asciiTheme="majorBidi" w:hAnsiTheme="majorBidi" w:cstheme="majorBidi"/>
          <w:b/>
          <w:bCs/>
          <w:sz w:val="24"/>
          <w:szCs w:val="24"/>
        </w:rPr>
      </w:pPr>
    </w:p>
    <w:p w14:paraId="0AC02CB3" w14:textId="77777777" w:rsidR="00CE2902" w:rsidRDefault="00CE2902" w:rsidP="00AC052D">
      <w:pPr>
        <w:spacing w:line="240" w:lineRule="auto"/>
        <w:rPr>
          <w:rFonts w:asciiTheme="majorBidi" w:hAnsiTheme="majorBidi" w:cstheme="majorBidi"/>
          <w:b/>
          <w:bCs/>
          <w:sz w:val="24"/>
          <w:szCs w:val="24"/>
        </w:rPr>
      </w:pPr>
    </w:p>
    <w:p w14:paraId="7F0E5A61" w14:textId="77777777" w:rsidR="00CE2902" w:rsidRDefault="00CE2902" w:rsidP="00AC052D">
      <w:pPr>
        <w:spacing w:line="240" w:lineRule="auto"/>
        <w:rPr>
          <w:rFonts w:asciiTheme="majorBidi" w:hAnsiTheme="majorBidi" w:cstheme="majorBidi"/>
          <w:b/>
          <w:bCs/>
          <w:sz w:val="24"/>
          <w:szCs w:val="24"/>
        </w:rPr>
      </w:pPr>
    </w:p>
    <w:p w14:paraId="0CE2FBF0" w14:textId="77777777" w:rsidR="00CE2902" w:rsidRDefault="00CE2902" w:rsidP="00AC052D">
      <w:pPr>
        <w:spacing w:line="240" w:lineRule="auto"/>
        <w:rPr>
          <w:rFonts w:asciiTheme="majorBidi" w:hAnsiTheme="majorBidi" w:cstheme="majorBidi"/>
          <w:b/>
          <w:bCs/>
          <w:sz w:val="24"/>
          <w:szCs w:val="24"/>
        </w:rPr>
      </w:pPr>
    </w:p>
    <w:p w14:paraId="2EC39BD5" w14:textId="77777777" w:rsidR="00CE2902" w:rsidRDefault="00CE2902" w:rsidP="00AC052D">
      <w:pPr>
        <w:spacing w:line="240" w:lineRule="auto"/>
        <w:rPr>
          <w:rFonts w:asciiTheme="majorBidi" w:hAnsiTheme="majorBidi" w:cstheme="majorBidi"/>
          <w:b/>
          <w:bCs/>
          <w:sz w:val="24"/>
          <w:szCs w:val="24"/>
        </w:rPr>
      </w:pPr>
    </w:p>
    <w:tbl>
      <w:tblPr>
        <w:tblStyle w:val="a"/>
        <w:tblpPr w:leftFromText="180" w:rightFromText="180" w:topFromText="180" w:bottomFromText="180" w:vertAnchor="text" w:horzAnchor="margin" w:tblpXSpec="center" w:tblpY="-46"/>
        <w:tblW w:w="309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090"/>
      </w:tblGrid>
      <w:tr w:rsidR="00CE2902" w:rsidRPr="00CE2902" w14:paraId="795B08D5" w14:textId="77777777" w:rsidTr="00CE2902">
        <w:tc>
          <w:tcPr>
            <w:tcW w:w="3090" w:type="dxa"/>
            <w:tcBorders>
              <w:top w:val="nil"/>
              <w:left w:val="nil"/>
              <w:bottom w:val="nil"/>
              <w:right w:val="nil"/>
            </w:tcBorders>
          </w:tcPr>
          <w:p w14:paraId="5D96B2ED" w14:textId="77777777" w:rsidR="00CE2902" w:rsidRPr="00CE2902" w:rsidRDefault="00CE2902" w:rsidP="00CE2902">
            <w:pPr>
              <w:widowControl w:val="0"/>
              <w:spacing w:line="240" w:lineRule="auto"/>
              <w:rPr>
                <w:rFonts w:asciiTheme="majorBidi" w:hAnsiTheme="majorBidi" w:cstheme="majorBidi"/>
                <w:sz w:val="24"/>
                <w:szCs w:val="24"/>
              </w:rPr>
            </w:pPr>
            <w:r w:rsidRPr="00CE2902">
              <w:rPr>
                <w:rFonts w:asciiTheme="majorBidi" w:hAnsiTheme="majorBidi" w:cstheme="majorBidi"/>
                <w:sz w:val="24"/>
                <w:szCs w:val="24"/>
              </w:rPr>
              <w:t>Figure 1: CASEL framework</w:t>
            </w:r>
          </w:p>
        </w:tc>
      </w:tr>
    </w:tbl>
    <w:p w14:paraId="633ED52C" w14:textId="77777777" w:rsidR="00CE2902" w:rsidRDefault="00CE2902" w:rsidP="00AC052D">
      <w:pPr>
        <w:spacing w:line="240" w:lineRule="auto"/>
        <w:rPr>
          <w:rFonts w:asciiTheme="majorBidi" w:hAnsiTheme="majorBidi" w:cstheme="majorBidi"/>
          <w:b/>
          <w:bCs/>
          <w:sz w:val="24"/>
          <w:szCs w:val="24"/>
        </w:rPr>
      </w:pPr>
    </w:p>
    <w:p w14:paraId="4401E48E" w14:textId="77777777" w:rsidR="00CE2902" w:rsidRDefault="00CE2902" w:rsidP="00AC052D">
      <w:pPr>
        <w:spacing w:line="240" w:lineRule="auto"/>
        <w:rPr>
          <w:rFonts w:asciiTheme="majorBidi" w:hAnsiTheme="majorBidi" w:cstheme="majorBidi"/>
          <w:b/>
          <w:bCs/>
          <w:sz w:val="24"/>
          <w:szCs w:val="24"/>
        </w:rPr>
      </w:pPr>
    </w:p>
    <w:p w14:paraId="40BB8FF4" w14:textId="61EFB50F" w:rsidR="00AC052D" w:rsidRPr="00AC052D" w:rsidRDefault="00AC052D" w:rsidP="00AC052D">
      <w:pPr>
        <w:spacing w:line="240" w:lineRule="auto"/>
        <w:rPr>
          <w:rFonts w:asciiTheme="majorBidi" w:hAnsiTheme="majorBidi" w:cstheme="majorBidi"/>
          <w:b/>
          <w:bCs/>
          <w:sz w:val="24"/>
          <w:szCs w:val="24"/>
        </w:rPr>
      </w:pPr>
      <w:r w:rsidRPr="00AC052D">
        <w:rPr>
          <w:rFonts w:asciiTheme="majorBidi" w:hAnsiTheme="majorBidi" w:cstheme="majorBidi"/>
          <w:b/>
          <w:bCs/>
          <w:sz w:val="24"/>
          <w:szCs w:val="24"/>
        </w:rPr>
        <w:t xml:space="preserve">Benefits and challenges </w:t>
      </w:r>
    </w:p>
    <w:p w14:paraId="5F6E62B3" w14:textId="7AF3AF2E" w:rsidR="00AC052D" w:rsidRPr="00AC052D" w:rsidRDefault="00AC052D" w:rsidP="00AC052D">
      <w:pPr>
        <w:spacing w:line="240" w:lineRule="auto"/>
        <w:rPr>
          <w:rFonts w:asciiTheme="majorBidi" w:hAnsiTheme="majorBidi" w:cstheme="majorBidi"/>
          <w:b/>
          <w:bCs/>
          <w:sz w:val="24"/>
          <w:szCs w:val="24"/>
        </w:rPr>
      </w:pPr>
    </w:p>
    <w:p w14:paraId="7F729005" w14:textId="059918B5" w:rsidR="00DF10FD" w:rsidRPr="00AC052D" w:rsidRDefault="00CE2902" w:rsidP="00AC052D">
      <w:pPr>
        <w:spacing w:line="240" w:lineRule="auto"/>
        <w:rPr>
          <w:rFonts w:asciiTheme="majorBidi" w:hAnsiTheme="majorBidi" w:cstheme="majorBidi"/>
          <w:sz w:val="24"/>
          <w:szCs w:val="24"/>
        </w:rPr>
      </w:pPr>
      <w:r w:rsidRPr="00AC052D">
        <w:rPr>
          <w:rFonts w:asciiTheme="majorBidi" w:hAnsiTheme="majorBidi" w:cstheme="majorBidi"/>
          <w:sz w:val="24"/>
          <w:szCs w:val="24"/>
        </w:rPr>
        <w:t>Integrating social and emotional learning (SEL) strategies in higher education</w:t>
      </w:r>
      <w:r w:rsidR="00C53373" w:rsidRPr="00AC052D">
        <w:rPr>
          <w:rFonts w:asciiTheme="majorBidi" w:hAnsiTheme="majorBidi" w:cstheme="majorBidi"/>
          <w:sz w:val="24"/>
          <w:szCs w:val="24"/>
        </w:rPr>
        <w:t xml:space="preserve"> is a necessity rather than a supplementary approach. SEL </w:t>
      </w:r>
      <w:r w:rsidRPr="00AC052D">
        <w:rPr>
          <w:rFonts w:asciiTheme="majorBidi" w:hAnsiTheme="majorBidi" w:cstheme="majorBidi"/>
          <w:sz w:val="24"/>
          <w:szCs w:val="24"/>
        </w:rPr>
        <w:t xml:space="preserve">can build stress resilience and create more positive engagement in the classroom (Elmi, 2020). It can also enhance student motivation, academic achievement, and overall success by promoting respect for others, appreciation for diverse perspectives, and willingness to help those in need (Simion, 2023). It is also believed that socio-emotional learning in higher education institutions can improve students' mental and physical health, decrease antisocial behavior, and boost academic performance (Palamar et al., 2024). </w:t>
      </w:r>
      <w:r w:rsidR="00DD0903" w:rsidRPr="00AC052D">
        <w:rPr>
          <w:rFonts w:asciiTheme="majorBidi" w:hAnsiTheme="majorBidi" w:cstheme="majorBidi"/>
          <w:sz w:val="24"/>
          <w:szCs w:val="24"/>
        </w:rPr>
        <w:t>SEL can</w:t>
      </w:r>
      <w:r w:rsidRPr="00AC052D">
        <w:rPr>
          <w:rFonts w:asciiTheme="majorBidi" w:hAnsiTheme="majorBidi" w:cstheme="majorBidi"/>
          <w:sz w:val="24"/>
          <w:szCs w:val="24"/>
        </w:rPr>
        <w:t xml:space="preserve"> </w:t>
      </w:r>
      <w:r w:rsidR="00DD0903" w:rsidRPr="00AC052D">
        <w:rPr>
          <w:rFonts w:asciiTheme="majorBidi" w:hAnsiTheme="majorBidi" w:cstheme="majorBidi"/>
          <w:sz w:val="24"/>
          <w:szCs w:val="24"/>
        </w:rPr>
        <w:t>reduce</w:t>
      </w:r>
      <w:r w:rsidRPr="00AC052D">
        <w:rPr>
          <w:rFonts w:asciiTheme="majorBidi" w:hAnsiTheme="majorBidi" w:cstheme="majorBidi"/>
          <w:sz w:val="24"/>
          <w:szCs w:val="24"/>
        </w:rPr>
        <w:t xml:space="preserve"> anxiety and </w:t>
      </w:r>
      <w:r w:rsidR="00DD0903" w:rsidRPr="00AC052D">
        <w:rPr>
          <w:rFonts w:asciiTheme="majorBidi" w:hAnsiTheme="majorBidi" w:cstheme="majorBidi"/>
          <w:sz w:val="24"/>
          <w:szCs w:val="24"/>
        </w:rPr>
        <w:t>support</w:t>
      </w:r>
      <w:r w:rsidRPr="00AC052D">
        <w:rPr>
          <w:rFonts w:asciiTheme="majorBidi" w:hAnsiTheme="majorBidi" w:cstheme="majorBidi"/>
          <w:sz w:val="24"/>
          <w:szCs w:val="24"/>
        </w:rPr>
        <w:t xml:space="preserve"> a positive classroom climate (Bergin et al., 2024; Herrera, 2023; Mahoney et al., 2020; Wicaksono &amp; Saraswati, 2024).</w:t>
      </w:r>
    </w:p>
    <w:p w14:paraId="690C0DEB" w14:textId="77777777" w:rsidR="00DF10FD" w:rsidRPr="00AC052D" w:rsidRDefault="00DF10FD" w:rsidP="00AC052D">
      <w:pPr>
        <w:spacing w:line="240" w:lineRule="auto"/>
        <w:rPr>
          <w:rFonts w:asciiTheme="majorBidi" w:hAnsiTheme="majorBidi" w:cstheme="majorBidi"/>
          <w:sz w:val="24"/>
          <w:szCs w:val="24"/>
        </w:rPr>
      </w:pPr>
    </w:p>
    <w:p w14:paraId="2D6E4CA3" w14:textId="105BF9D3" w:rsidR="00C53373" w:rsidRPr="00AC052D" w:rsidRDefault="00CE2902" w:rsidP="00AC052D">
      <w:pPr>
        <w:spacing w:line="240" w:lineRule="auto"/>
        <w:rPr>
          <w:rFonts w:asciiTheme="majorBidi" w:hAnsiTheme="majorBidi" w:cstheme="majorBidi"/>
          <w:sz w:val="24"/>
          <w:szCs w:val="24"/>
        </w:rPr>
      </w:pPr>
      <w:r w:rsidRPr="00AC052D">
        <w:rPr>
          <w:rFonts w:asciiTheme="majorBidi" w:hAnsiTheme="majorBidi" w:cstheme="majorBidi"/>
          <w:sz w:val="24"/>
          <w:szCs w:val="24"/>
        </w:rPr>
        <w:t>While a substantial body of research exists on SEL, the primary focus has been on school-aged children. SEL in higher education remains underexplored, despite its growing relevance in preparing students for both professional and personal success. SEL</w:t>
      </w:r>
      <w:r w:rsidR="001F6E1C" w:rsidRPr="00AC052D">
        <w:rPr>
          <w:rFonts w:asciiTheme="majorBidi" w:hAnsiTheme="majorBidi" w:cstheme="majorBidi"/>
          <w:sz w:val="24"/>
          <w:szCs w:val="24"/>
        </w:rPr>
        <w:t xml:space="preserve"> programs in higher education</w:t>
      </w:r>
      <w:r w:rsidRPr="00AC052D">
        <w:rPr>
          <w:rFonts w:asciiTheme="majorBidi" w:hAnsiTheme="majorBidi" w:cstheme="majorBidi"/>
          <w:sz w:val="24"/>
          <w:szCs w:val="24"/>
        </w:rPr>
        <w:t xml:space="preserve"> </w:t>
      </w:r>
      <w:r w:rsidR="001F6E1C" w:rsidRPr="00AC052D">
        <w:rPr>
          <w:rFonts w:asciiTheme="majorBidi" w:hAnsiTheme="majorBidi" w:cstheme="majorBidi"/>
          <w:sz w:val="24"/>
          <w:szCs w:val="24"/>
        </w:rPr>
        <w:t>are</w:t>
      </w:r>
      <w:r w:rsidRPr="00AC052D">
        <w:rPr>
          <w:rFonts w:asciiTheme="majorBidi" w:hAnsiTheme="majorBidi" w:cstheme="majorBidi"/>
          <w:sz w:val="24"/>
          <w:szCs w:val="24"/>
        </w:rPr>
        <w:t xml:space="preserve"> generally provided as an intervention for targeted students</w:t>
      </w:r>
      <w:r w:rsidR="001F6E1C" w:rsidRPr="00AC052D">
        <w:rPr>
          <w:rFonts w:asciiTheme="majorBidi" w:hAnsiTheme="majorBidi" w:cstheme="majorBidi"/>
          <w:sz w:val="24"/>
          <w:szCs w:val="24"/>
        </w:rPr>
        <w:t xml:space="preserve"> rather than</w:t>
      </w:r>
      <w:r w:rsidRPr="00AC052D">
        <w:rPr>
          <w:rFonts w:asciiTheme="majorBidi" w:hAnsiTheme="majorBidi" w:cstheme="majorBidi"/>
          <w:sz w:val="24"/>
          <w:szCs w:val="24"/>
        </w:rPr>
        <w:t xml:space="preserve"> </w:t>
      </w:r>
      <w:r w:rsidR="001F6E1C" w:rsidRPr="00AC052D">
        <w:rPr>
          <w:rFonts w:asciiTheme="majorBidi" w:hAnsiTheme="majorBidi" w:cstheme="majorBidi"/>
          <w:sz w:val="24"/>
          <w:szCs w:val="24"/>
        </w:rPr>
        <w:t xml:space="preserve">a universal program </w:t>
      </w:r>
      <w:r w:rsidRPr="00AC052D">
        <w:rPr>
          <w:rFonts w:asciiTheme="majorBidi" w:hAnsiTheme="majorBidi" w:cstheme="majorBidi"/>
          <w:sz w:val="24"/>
          <w:szCs w:val="24"/>
        </w:rPr>
        <w:t>for all students (Conley, 2015). This gap has been attributed to a couple of challenges. First, many universities lack formal SEL policies, resources, or leadership buy-in for SEL programs (Madden-Dent et al., 2021; Williamson, 20</w:t>
      </w:r>
      <w:r w:rsidR="0086359D" w:rsidRPr="00AC052D">
        <w:rPr>
          <w:rFonts w:asciiTheme="majorBidi" w:hAnsiTheme="majorBidi" w:cstheme="majorBidi"/>
          <w:sz w:val="24"/>
          <w:szCs w:val="24"/>
        </w:rPr>
        <w:t>21</w:t>
      </w:r>
      <w:r w:rsidRPr="00AC052D">
        <w:rPr>
          <w:rFonts w:asciiTheme="majorBidi" w:hAnsiTheme="majorBidi" w:cstheme="majorBidi"/>
          <w:sz w:val="24"/>
          <w:szCs w:val="24"/>
        </w:rPr>
        <w:t xml:space="preserve">). Second, there is a lack of </w:t>
      </w:r>
      <w:r w:rsidR="001F6E1C" w:rsidRPr="00AC052D">
        <w:rPr>
          <w:rFonts w:asciiTheme="majorBidi" w:hAnsiTheme="majorBidi" w:cstheme="majorBidi"/>
          <w:sz w:val="24"/>
          <w:szCs w:val="24"/>
        </w:rPr>
        <w:t>academics’</w:t>
      </w:r>
      <w:r w:rsidRPr="00AC052D">
        <w:rPr>
          <w:rFonts w:asciiTheme="majorBidi" w:hAnsiTheme="majorBidi" w:cstheme="majorBidi"/>
          <w:sz w:val="24"/>
          <w:szCs w:val="24"/>
        </w:rPr>
        <w:t xml:space="preserve"> preparedness. Faculty often have limited training or experience in SEL, making integration inconsistent (Madden-Dent et al., 2021; Pental, 2025). Third, students may resist SEL activities, viewing them as irrelevant or lacking motivation (</w:t>
      </w:r>
      <w:r w:rsidR="0086359D" w:rsidRPr="00AC052D">
        <w:rPr>
          <w:rFonts w:asciiTheme="majorBidi" w:hAnsiTheme="majorBidi" w:cstheme="majorBidi"/>
          <w:sz w:val="24"/>
          <w:szCs w:val="24"/>
        </w:rPr>
        <w:t>Linh</w:t>
      </w:r>
      <w:r w:rsidRPr="00AC052D">
        <w:rPr>
          <w:rFonts w:asciiTheme="majorBidi" w:hAnsiTheme="majorBidi" w:cstheme="majorBidi"/>
          <w:sz w:val="24"/>
          <w:szCs w:val="24"/>
        </w:rPr>
        <w:t>, 2020</w:t>
      </w:r>
      <w:r w:rsidR="0086359D" w:rsidRPr="00AC052D">
        <w:rPr>
          <w:rFonts w:asciiTheme="majorBidi" w:hAnsiTheme="majorBidi" w:cstheme="majorBidi"/>
          <w:sz w:val="24"/>
          <w:szCs w:val="24"/>
        </w:rPr>
        <w:t>; Pental, 2025</w:t>
      </w:r>
      <w:r w:rsidRPr="00AC052D">
        <w:rPr>
          <w:rFonts w:asciiTheme="majorBidi" w:hAnsiTheme="majorBidi" w:cstheme="majorBidi"/>
          <w:sz w:val="24"/>
          <w:szCs w:val="24"/>
        </w:rPr>
        <w:t>). Fourth, there are difficulties in measuring SEL outcomes and integrating them into academic evaluation</w:t>
      </w:r>
      <w:r w:rsidR="001F6E1C" w:rsidRPr="00AC052D">
        <w:rPr>
          <w:rFonts w:asciiTheme="majorBidi" w:hAnsiTheme="majorBidi" w:cstheme="majorBidi"/>
          <w:sz w:val="24"/>
          <w:szCs w:val="24"/>
        </w:rPr>
        <w:t>,</w:t>
      </w:r>
      <w:r w:rsidRPr="00AC052D">
        <w:rPr>
          <w:rFonts w:asciiTheme="majorBidi" w:hAnsiTheme="majorBidi" w:cstheme="majorBidi"/>
          <w:sz w:val="24"/>
          <w:szCs w:val="24"/>
        </w:rPr>
        <w:t xml:space="preserve"> as there are </w:t>
      </w:r>
      <w:r w:rsidR="001F6E1C" w:rsidRPr="00AC052D">
        <w:rPr>
          <w:rFonts w:asciiTheme="majorBidi" w:hAnsiTheme="majorBidi" w:cstheme="majorBidi"/>
          <w:sz w:val="24"/>
          <w:szCs w:val="24"/>
        </w:rPr>
        <w:t>no</w:t>
      </w:r>
      <w:r w:rsidRPr="00AC052D">
        <w:rPr>
          <w:rFonts w:asciiTheme="majorBidi" w:hAnsiTheme="majorBidi" w:cstheme="majorBidi"/>
          <w:sz w:val="24"/>
          <w:szCs w:val="24"/>
        </w:rPr>
        <w:t xml:space="preserve"> clear</w:t>
      </w:r>
      <w:r w:rsidR="001F6E1C" w:rsidRPr="00AC052D">
        <w:rPr>
          <w:rFonts w:asciiTheme="majorBidi" w:hAnsiTheme="majorBidi" w:cstheme="majorBidi"/>
          <w:sz w:val="24"/>
          <w:szCs w:val="24"/>
        </w:rPr>
        <w:t>,</w:t>
      </w:r>
      <w:r w:rsidRPr="00AC052D">
        <w:rPr>
          <w:rFonts w:asciiTheme="majorBidi" w:hAnsiTheme="majorBidi" w:cstheme="majorBidi"/>
          <w:sz w:val="24"/>
          <w:szCs w:val="24"/>
        </w:rPr>
        <w:t xml:space="preserve"> comprehensive frameworks for teaching and assessing social and emotional competencies in higher education (Simion, 2023; Williamson, 2019). Pressure to prioritize academic content is another reason that can overshadow SEL efforts (Pental, 2025). </w:t>
      </w:r>
    </w:p>
    <w:p w14:paraId="338BD896" w14:textId="5A806FC1" w:rsidR="00AC052D" w:rsidRPr="00AC052D" w:rsidRDefault="00AC052D" w:rsidP="00AC052D">
      <w:pPr>
        <w:spacing w:line="240" w:lineRule="auto"/>
        <w:rPr>
          <w:rFonts w:asciiTheme="majorBidi" w:hAnsiTheme="majorBidi" w:cstheme="majorBidi"/>
          <w:sz w:val="24"/>
          <w:szCs w:val="24"/>
        </w:rPr>
      </w:pPr>
    </w:p>
    <w:p w14:paraId="0C4C2E76" w14:textId="23723013" w:rsidR="00AC052D" w:rsidRPr="00AC052D" w:rsidRDefault="00AC052D" w:rsidP="00AC052D">
      <w:pPr>
        <w:spacing w:line="240" w:lineRule="auto"/>
        <w:rPr>
          <w:rFonts w:asciiTheme="majorBidi" w:hAnsiTheme="majorBidi" w:cstheme="majorBidi"/>
          <w:b/>
          <w:bCs/>
          <w:sz w:val="24"/>
          <w:szCs w:val="24"/>
        </w:rPr>
      </w:pPr>
      <w:r w:rsidRPr="00AC052D">
        <w:rPr>
          <w:rFonts w:asciiTheme="majorBidi" w:hAnsiTheme="majorBidi" w:cstheme="majorBidi"/>
          <w:b/>
          <w:bCs/>
          <w:sz w:val="24"/>
          <w:szCs w:val="24"/>
        </w:rPr>
        <w:lastRenderedPageBreak/>
        <w:t>How to promote SEL</w:t>
      </w:r>
    </w:p>
    <w:p w14:paraId="09E8C606" w14:textId="77777777" w:rsidR="00C53373" w:rsidRPr="00AC052D" w:rsidRDefault="00C53373" w:rsidP="00AC052D">
      <w:pPr>
        <w:spacing w:line="240" w:lineRule="auto"/>
        <w:rPr>
          <w:rFonts w:asciiTheme="majorBidi" w:hAnsiTheme="majorBidi" w:cstheme="majorBidi"/>
          <w:sz w:val="24"/>
          <w:szCs w:val="24"/>
        </w:rPr>
      </w:pPr>
    </w:p>
    <w:p w14:paraId="462DDE04" w14:textId="52367E5E" w:rsidR="0011211B" w:rsidRPr="00AC052D" w:rsidRDefault="00CE2902" w:rsidP="00AC052D">
      <w:pPr>
        <w:spacing w:line="240" w:lineRule="auto"/>
        <w:rPr>
          <w:rFonts w:asciiTheme="majorBidi" w:hAnsiTheme="majorBidi" w:cstheme="majorBidi"/>
          <w:sz w:val="24"/>
          <w:szCs w:val="24"/>
        </w:rPr>
      </w:pPr>
      <w:r w:rsidRPr="00AC052D">
        <w:rPr>
          <w:rFonts w:asciiTheme="majorBidi" w:hAnsiTheme="majorBidi" w:cstheme="majorBidi"/>
          <w:sz w:val="24"/>
          <w:szCs w:val="24"/>
        </w:rPr>
        <w:t>Th</w:t>
      </w:r>
      <w:r w:rsidR="001F6E1C" w:rsidRPr="00AC052D">
        <w:rPr>
          <w:rFonts w:asciiTheme="majorBidi" w:hAnsiTheme="majorBidi" w:cstheme="majorBidi"/>
          <w:sz w:val="24"/>
          <w:szCs w:val="24"/>
        </w:rPr>
        <w:t>is</w:t>
      </w:r>
      <w:r w:rsidRPr="00AC052D">
        <w:rPr>
          <w:rFonts w:asciiTheme="majorBidi" w:hAnsiTheme="majorBidi" w:cstheme="majorBidi"/>
          <w:sz w:val="24"/>
          <w:szCs w:val="24"/>
        </w:rPr>
        <w:t xml:space="preserve"> gap suggests a</w:t>
      </w:r>
      <w:r w:rsidR="001F6E1C" w:rsidRPr="00AC052D">
        <w:rPr>
          <w:rFonts w:asciiTheme="majorBidi" w:hAnsiTheme="majorBidi" w:cstheme="majorBidi"/>
          <w:sz w:val="24"/>
          <w:szCs w:val="24"/>
        </w:rPr>
        <w:t>n urgent</w:t>
      </w:r>
      <w:r w:rsidRPr="00AC052D">
        <w:rPr>
          <w:rFonts w:asciiTheme="majorBidi" w:hAnsiTheme="majorBidi" w:cstheme="majorBidi"/>
          <w:sz w:val="24"/>
          <w:szCs w:val="24"/>
        </w:rPr>
        <w:t xml:space="preserve"> need for developing a comprehensive framework for teaching and assessing social and emotional competencies in undergraduate courses. English language classes can be a perfect space for promoting SEL in higher education. These classes naturally involve communication, self-expression, and interaction</w:t>
      </w:r>
      <w:r w:rsidR="001F6E1C" w:rsidRPr="00AC052D">
        <w:rPr>
          <w:rFonts w:asciiTheme="majorBidi" w:hAnsiTheme="majorBidi" w:cstheme="majorBidi"/>
          <w:sz w:val="24"/>
          <w:szCs w:val="24"/>
        </w:rPr>
        <w:t>,</w:t>
      </w:r>
      <w:r w:rsidRPr="00AC052D">
        <w:rPr>
          <w:rFonts w:asciiTheme="majorBidi" w:hAnsiTheme="majorBidi" w:cstheme="majorBidi"/>
          <w:sz w:val="24"/>
          <w:szCs w:val="24"/>
        </w:rPr>
        <w:t xml:space="preserve"> which make them ideal for nurturing empathy, active listening, and emotional awareness. </w:t>
      </w:r>
      <w:r w:rsidR="0011211B" w:rsidRPr="00AC052D">
        <w:rPr>
          <w:rFonts w:asciiTheme="majorBidi" w:hAnsiTheme="majorBidi" w:cstheme="majorBidi"/>
          <w:sz w:val="24"/>
          <w:szCs w:val="24"/>
        </w:rPr>
        <w:t xml:space="preserve">This offers a </w:t>
      </w:r>
      <w:r w:rsidR="00C53373" w:rsidRPr="00AC052D">
        <w:rPr>
          <w:rFonts w:asciiTheme="majorBidi" w:hAnsiTheme="majorBidi" w:cstheme="majorBidi"/>
          <w:sz w:val="24"/>
          <w:szCs w:val="24"/>
        </w:rPr>
        <w:t>valuable</w:t>
      </w:r>
      <w:r w:rsidR="0011211B" w:rsidRPr="00AC052D">
        <w:rPr>
          <w:rFonts w:asciiTheme="majorBidi" w:hAnsiTheme="majorBidi" w:cstheme="majorBidi"/>
          <w:sz w:val="24"/>
          <w:szCs w:val="24"/>
        </w:rPr>
        <w:t xml:space="preserve"> opportunity to humanize language teaching </w:t>
      </w:r>
      <w:r w:rsidR="00C53373" w:rsidRPr="00AC052D">
        <w:rPr>
          <w:rFonts w:asciiTheme="majorBidi" w:hAnsiTheme="majorBidi" w:cstheme="majorBidi"/>
          <w:sz w:val="24"/>
          <w:szCs w:val="24"/>
        </w:rPr>
        <w:t xml:space="preserve">by nurturing </w:t>
      </w:r>
      <w:r w:rsidR="0011211B" w:rsidRPr="00AC052D">
        <w:rPr>
          <w:rFonts w:asciiTheme="majorBidi" w:hAnsiTheme="majorBidi" w:cstheme="majorBidi"/>
          <w:sz w:val="24"/>
          <w:szCs w:val="24"/>
        </w:rPr>
        <w:t xml:space="preserve">learners not only as language learners, but </w:t>
      </w:r>
      <w:r w:rsidR="00C341B1">
        <w:rPr>
          <w:rFonts w:asciiTheme="majorBidi" w:hAnsiTheme="majorBidi" w:cstheme="majorBidi"/>
          <w:sz w:val="24"/>
          <w:szCs w:val="24"/>
        </w:rPr>
        <w:t xml:space="preserve">also </w:t>
      </w:r>
      <w:r w:rsidR="0011211B" w:rsidRPr="00AC052D">
        <w:rPr>
          <w:rFonts w:asciiTheme="majorBidi" w:hAnsiTheme="majorBidi" w:cstheme="majorBidi"/>
          <w:sz w:val="24"/>
          <w:szCs w:val="24"/>
        </w:rPr>
        <w:t>as whole individuals developing the emotional and social skills essential for academic, professional, and personal success.</w:t>
      </w:r>
    </w:p>
    <w:p w14:paraId="04EB1276" w14:textId="77777777" w:rsidR="0011211B" w:rsidRPr="00AC052D" w:rsidRDefault="0011211B" w:rsidP="00AC052D">
      <w:pPr>
        <w:spacing w:line="240" w:lineRule="auto"/>
        <w:rPr>
          <w:rFonts w:asciiTheme="majorBidi" w:hAnsiTheme="majorBidi" w:cstheme="majorBidi"/>
          <w:sz w:val="24"/>
          <w:szCs w:val="24"/>
        </w:rPr>
      </w:pPr>
    </w:p>
    <w:p w14:paraId="327F79EB" w14:textId="7017E70C" w:rsidR="0011211B" w:rsidRPr="00AC052D" w:rsidRDefault="00CE2902" w:rsidP="00AC052D">
      <w:pPr>
        <w:spacing w:line="240" w:lineRule="auto"/>
        <w:rPr>
          <w:rFonts w:asciiTheme="majorBidi" w:hAnsiTheme="majorBidi" w:cstheme="majorBidi"/>
          <w:sz w:val="24"/>
          <w:szCs w:val="24"/>
        </w:rPr>
      </w:pPr>
      <w:r w:rsidRPr="00AC052D">
        <w:rPr>
          <w:rFonts w:asciiTheme="majorBidi" w:hAnsiTheme="majorBidi" w:cstheme="majorBidi"/>
          <w:sz w:val="24"/>
          <w:szCs w:val="24"/>
        </w:rPr>
        <w:t>To effectively promote Social and Emotional Competence (SEC) in higher education, institutions can take several strategic steps. I believe we need, first and foremost, to carefully design a comprehensive framework for teaching and assessing social and emotional learning in undergraduate English courses by adapting</w:t>
      </w:r>
      <w:r w:rsidR="001F6E1C" w:rsidRPr="00AC052D">
        <w:rPr>
          <w:rFonts w:asciiTheme="majorBidi" w:hAnsiTheme="majorBidi" w:cstheme="majorBidi"/>
          <w:sz w:val="24"/>
          <w:szCs w:val="24"/>
        </w:rPr>
        <w:t xml:space="preserve"> or</w:t>
      </w:r>
      <w:r w:rsidRPr="00AC052D">
        <w:rPr>
          <w:rFonts w:asciiTheme="majorBidi" w:hAnsiTheme="majorBidi" w:cstheme="majorBidi"/>
          <w:sz w:val="24"/>
          <w:szCs w:val="24"/>
        </w:rPr>
        <w:t xml:space="preserve"> learning from the existing SEL frameworks. Th</w:t>
      </w:r>
      <w:r w:rsidR="00C53373" w:rsidRPr="00AC052D">
        <w:rPr>
          <w:rFonts w:asciiTheme="majorBidi" w:hAnsiTheme="majorBidi" w:cstheme="majorBidi"/>
          <w:sz w:val="24"/>
          <w:szCs w:val="24"/>
        </w:rPr>
        <w:t>e designed</w:t>
      </w:r>
      <w:r w:rsidRPr="00AC052D">
        <w:rPr>
          <w:rFonts w:asciiTheme="majorBidi" w:hAnsiTheme="majorBidi" w:cstheme="majorBidi"/>
          <w:sz w:val="24"/>
          <w:szCs w:val="24"/>
        </w:rPr>
        <w:t xml:space="preserve"> framework should be aligned with employability skills to help bridge the gap between academic learning and industry expectations. It is also significant to develop faculty training programs to raise SEC awareness</w:t>
      </w:r>
      <w:r w:rsidR="0011211B" w:rsidRPr="00AC052D">
        <w:rPr>
          <w:rFonts w:asciiTheme="majorBidi" w:hAnsiTheme="majorBidi" w:cstheme="majorBidi"/>
          <w:sz w:val="24"/>
          <w:szCs w:val="24"/>
        </w:rPr>
        <w:t xml:space="preserve">. </w:t>
      </w:r>
      <w:r w:rsidRPr="00AC052D">
        <w:rPr>
          <w:rFonts w:asciiTheme="majorBidi" w:hAnsiTheme="majorBidi" w:cstheme="majorBidi"/>
          <w:sz w:val="24"/>
          <w:szCs w:val="24"/>
        </w:rPr>
        <w:t>Educators' own social-emotional competence plays a vital role, as their well-being and classroom relationships directly influence student outcomes.</w:t>
      </w:r>
      <w:r w:rsidR="0011211B" w:rsidRPr="00AC052D">
        <w:rPr>
          <w:rFonts w:asciiTheme="majorBidi" w:hAnsiTheme="majorBidi" w:cstheme="majorBidi"/>
          <w:sz w:val="24"/>
          <w:szCs w:val="24"/>
        </w:rPr>
        <w:t xml:space="preserve"> </w:t>
      </w:r>
      <w:r w:rsidRPr="00AC052D">
        <w:rPr>
          <w:rFonts w:asciiTheme="majorBidi" w:hAnsiTheme="majorBidi" w:cstheme="majorBidi"/>
          <w:sz w:val="24"/>
          <w:szCs w:val="24"/>
        </w:rPr>
        <w:t>A holistic approach to course design where SEL is woven throughout the curriculum can encourage collaboration, trust, and student engagement. For example, active and blended learning strategies, such as group projects, simulations, and social media integration, can enhance self-awareness and social skills</w:t>
      </w:r>
      <w:r w:rsidR="00681371" w:rsidRPr="00AC052D">
        <w:rPr>
          <w:rFonts w:asciiTheme="majorBidi" w:hAnsiTheme="majorBidi" w:cstheme="majorBidi"/>
          <w:sz w:val="24"/>
          <w:szCs w:val="24"/>
        </w:rPr>
        <w:t>.</w:t>
      </w:r>
    </w:p>
    <w:p w14:paraId="3D21FB9F" w14:textId="696EB9A9" w:rsidR="00DF10FD" w:rsidRPr="00AC052D" w:rsidRDefault="00CE2902" w:rsidP="00AC052D">
      <w:pPr>
        <w:spacing w:before="240" w:after="240" w:line="240" w:lineRule="auto"/>
        <w:rPr>
          <w:rFonts w:asciiTheme="majorBidi" w:hAnsiTheme="majorBidi" w:cstheme="majorBidi"/>
          <w:sz w:val="24"/>
          <w:szCs w:val="24"/>
        </w:rPr>
      </w:pPr>
      <w:r w:rsidRPr="00AC052D">
        <w:rPr>
          <w:rFonts w:asciiTheme="majorBidi" w:hAnsiTheme="majorBidi" w:cstheme="majorBidi"/>
          <w:sz w:val="24"/>
          <w:szCs w:val="24"/>
        </w:rPr>
        <w:t xml:space="preserve">It is time for higher education institutions to rethink what it truly means to prepare students for the future. We need to reintegrate SEL frameworks into university programs so that our graduates leave not just with smart minds, but </w:t>
      </w:r>
      <w:r w:rsidR="00F01764">
        <w:rPr>
          <w:rFonts w:asciiTheme="majorBidi" w:hAnsiTheme="majorBidi" w:cstheme="majorBidi"/>
          <w:sz w:val="24"/>
          <w:szCs w:val="24"/>
        </w:rPr>
        <w:t xml:space="preserve">also </w:t>
      </w:r>
      <w:r w:rsidRPr="00AC052D">
        <w:rPr>
          <w:rFonts w:asciiTheme="majorBidi" w:hAnsiTheme="majorBidi" w:cstheme="majorBidi"/>
          <w:sz w:val="24"/>
          <w:szCs w:val="24"/>
        </w:rPr>
        <w:t>with wise hearts.</w:t>
      </w:r>
    </w:p>
    <w:p w14:paraId="5D490822" w14:textId="77777777" w:rsidR="007921EE" w:rsidRPr="00AC052D" w:rsidRDefault="007921EE">
      <w:pPr>
        <w:spacing w:before="240" w:after="240"/>
        <w:rPr>
          <w:rFonts w:asciiTheme="majorBidi" w:hAnsiTheme="majorBidi" w:cstheme="majorBidi"/>
          <w:color w:val="28333D"/>
          <w:sz w:val="24"/>
          <w:szCs w:val="24"/>
          <w:highlight w:val="white"/>
        </w:rPr>
      </w:pPr>
    </w:p>
    <w:p w14:paraId="5BBEE751" w14:textId="2838D2C6" w:rsidR="00DF10FD" w:rsidRPr="00AC052D" w:rsidRDefault="00196169">
      <w:pPr>
        <w:rPr>
          <w:rFonts w:asciiTheme="majorBidi" w:hAnsiTheme="majorBidi" w:cstheme="majorBidi"/>
          <w:b/>
          <w:bCs/>
          <w:color w:val="28333D"/>
          <w:sz w:val="24"/>
          <w:szCs w:val="24"/>
          <w:highlight w:val="white"/>
        </w:rPr>
      </w:pPr>
      <w:r w:rsidRPr="00AC052D">
        <w:rPr>
          <w:rFonts w:asciiTheme="majorBidi" w:hAnsiTheme="majorBidi" w:cstheme="majorBidi"/>
          <w:b/>
          <w:bCs/>
          <w:color w:val="28333D"/>
          <w:sz w:val="24"/>
          <w:szCs w:val="24"/>
          <w:highlight w:val="white"/>
        </w:rPr>
        <w:t xml:space="preserve">References </w:t>
      </w:r>
    </w:p>
    <w:p w14:paraId="26FAC368" w14:textId="7D273F93" w:rsidR="00196169" w:rsidRPr="00AC052D" w:rsidRDefault="00196169">
      <w:pPr>
        <w:rPr>
          <w:rFonts w:asciiTheme="majorBidi" w:hAnsiTheme="majorBidi" w:cstheme="majorBidi"/>
          <w:b/>
          <w:bCs/>
          <w:color w:val="28333D"/>
          <w:sz w:val="24"/>
          <w:szCs w:val="24"/>
          <w:highlight w:val="white"/>
        </w:rPr>
      </w:pPr>
    </w:p>
    <w:p w14:paraId="36C32F04" w14:textId="0EE268A3" w:rsidR="007921EE" w:rsidRPr="00F01764" w:rsidRDefault="007921EE" w:rsidP="007921EE">
      <w:pPr>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t>Bergin, C., Tsai, C. L., Prewett, S., Jones, E., Bergin, D. A., &amp; Murphy, B. (2024). Effectiveness of a Social-Emotional Learning Program for Both Teachers and Students. </w:t>
      </w:r>
      <w:r w:rsidRPr="00F01764">
        <w:rPr>
          <w:rFonts w:asciiTheme="majorBidi" w:hAnsiTheme="majorBidi" w:cstheme="majorBidi"/>
          <w:i/>
          <w:iCs/>
          <w:color w:val="222222"/>
          <w:sz w:val="24"/>
          <w:szCs w:val="24"/>
          <w:shd w:val="clear" w:color="auto" w:fill="FFFFFF"/>
        </w:rPr>
        <w:t>AERA Open</w:t>
      </w:r>
      <w:r w:rsidRPr="00F01764">
        <w:rPr>
          <w:rFonts w:asciiTheme="majorBidi" w:hAnsiTheme="majorBidi" w:cstheme="majorBidi"/>
          <w:color w:val="222222"/>
          <w:sz w:val="24"/>
          <w:szCs w:val="24"/>
          <w:shd w:val="clear" w:color="auto" w:fill="FFFFFF"/>
        </w:rPr>
        <w:t>, </w:t>
      </w:r>
      <w:r w:rsidRPr="00F01764">
        <w:rPr>
          <w:rFonts w:asciiTheme="majorBidi" w:hAnsiTheme="majorBidi" w:cstheme="majorBidi"/>
          <w:i/>
          <w:iCs/>
          <w:color w:val="222222"/>
          <w:sz w:val="24"/>
          <w:szCs w:val="24"/>
          <w:shd w:val="clear" w:color="auto" w:fill="FFFFFF"/>
        </w:rPr>
        <w:t>10</w:t>
      </w:r>
      <w:r w:rsidRPr="00F01764">
        <w:rPr>
          <w:rFonts w:asciiTheme="majorBidi" w:hAnsiTheme="majorBidi" w:cstheme="majorBidi"/>
          <w:color w:val="222222"/>
          <w:sz w:val="24"/>
          <w:szCs w:val="24"/>
          <w:shd w:val="clear" w:color="auto" w:fill="FFFFFF"/>
        </w:rPr>
        <w:t xml:space="preserve">. </w:t>
      </w:r>
      <w:hyperlink r:id="rId7" w:history="1">
        <w:r w:rsidRPr="00F01764">
          <w:rPr>
            <w:rStyle w:val="Hyperlink"/>
            <w:rFonts w:asciiTheme="majorBidi" w:hAnsiTheme="majorBidi" w:cstheme="majorBidi"/>
            <w:sz w:val="24"/>
            <w:szCs w:val="24"/>
            <w:shd w:val="clear" w:color="auto" w:fill="FFFFFF"/>
          </w:rPr>
          <w:t>https://journals.sagepub.com/doi/full/10.1177/23328584241281284</w:t>
        </w:r>
      </w:hyperlink>
    </w:p>
    <w:p w14:paraId="1ED4DC7B" w14:textId="77777777" w:rsidR="007921EE" w:rsidRPr="00F01764" w:rsidRDefault="007921EE" w:rsidP="007921EE">
      <w:pPr>
        <w:rPr>
          <w:rFonts w:asciiTheme="majorBidi" w:hAnsiTheme="majorBidi" w:cstheme="majorBidi"/>
          <w:color w:val="222222"/>
          <w:sz w:val="24"/>
          <w:szCs w:val="24"/>
          <w:shd w:val="clear" w:color="auto" w:fill="FFFFFF"/>
        </w:rPr>
      </w:pPr>
    </w:p>
    <w:p w14:paraId="79707B1D" w14:textId="781C34D2" w:rsidR="007921EE" w:rsidRPr="00F01764" w:rsidRDefault="007921EE" w:rsidP="007921EE">
      <w:pPr>
        <w:rPr>
          <w:rFonts w:asciiTheme="majorBidi" w:hAnsiTheme="majorBidi" w:cstheme="majorBidi"/>
          <w:color w:val="222222"/>
          <w:sz w:val="24"/>
          <w:szCs w:val="24"/>
          <w:shd w:val="clear" w:color="auto" w:fill="FFFFFF"/>
        </w:rPr>
      </w:pPr>
      <w:r w:rsidRPr="00F01764">
        <w:rPr>
          <w:rFonts w:asciiTheme="majorBidi" w:hAnsiTheme="majorBidi" w:cstheme="majorBidi"/>
          <w:color w:val="28333D"/>
          <w:sz w:val="24"/>
          <w:szCs w:val="24"/>
          <w:highlight w:val="white"/>
        </w:rPr>
        <w:t>CASEL. (n.d</w:t>
      </w:r>
      <w:r w:rsidR="000272EF" w:rsidRPr="00F01764">
        <w:rPr>
          <w:rFonts w:asciiTheme="majorBidi" w:hAnsiTheme="majorBidi" w:cstheme="majorBidi"/>
          <w:color w:val="28333D"/>
          <w:sz w:val="24"/>
          <w:szCs w:val="24"/>
          <w:highlight w:val="white"/>
        </w:rPr>
        <w:t>.</w:t>
      </w:r>
      <w:r w:rsidRPr="00F01764">
        <w:rPr>
          <w:rFonts w:asciiTheme="majorBidi" w:hAnsiTheme="majorBidi" w:cstheme="majorBidi"/>
          <w:color w:val="28333D"/>
          <w:sz w:val="24"/>
          <w:szCs w:val="24"/>
          <w:highlight w:val="white"/>
        </w:rPr>
        <w:t xml:space="preserve">). Fundamentals of SEL. </w:t>
      </w:r>
      <w:hyperlink r:id="rId8">
        <w:r w:rsidRPr="00F01764">
          <w:rPr>
            <w:rFonts w:asciiTheme="majorBidi" w:hAnsiTheme="majorBidi" w:cstheme="majorBidi"/>
            <w:color w:val="1155CC"/>
            <w:sz w:val="24"/>
            <w:szCs w:val="24"/>
            <w:highlight w:val="white"/>
            <w:u w:val="single"/>
          </w:rPr>
          <w:t>https://casel.org/fundamentals-of-sel/</w:t>
        </w:r>
      </w:hyperlink>
    </w:p>
    <w:p w14:paraId="61571C9D" w14:textId="77777777" w:rsidR="007921EE" w:rsidRPr="00F01764" w:rsidRDefault="007921EE">
      <w:pPr>
        <w:rPr>
          <w:rFonts w:asciiTheme="majorBidi" w:hAnsiTheme="majorBidi" w:cstheme="majorBidi"/>
          <w:color w:val="222222"/>
          <w:sz w:val="24"/>
          <w:szCs w:val="24"/>
          <w:shd w:val="clear" w:color="auto" w:fill="FFFFFF"/>
        </w:rPr>
      </w:pPr>
    </w:p>
    <w:p w14:paraId="45BCF620" w14:textId="3BBE17E4" w:rsidR="00DF10FD" w:rsidRPr="00F01764" w:rsidRDefault="00196169" w:rsidP="007921EE">
      <w:pPr>
        <w:rPr>
          <w:rFonts w:asciiTheme="majorBidi" w:hAnsiTheme="majorBidi" w:cstheme="majorBidi"/>
          <w:b/>
          <w:bCs/>
          <w:color w:val="28333D"/>
          <w:sz w:val="24"/>
          <w:szCs w:val="24"/>
          <w:highlight w:val="white"/>
        </w:rPr>
      </w:pPr>
      <w:r w:rsidRPr="00F01764">
        <w:rPr>
          <w:rFonts w:asciiTheme="majorBidi" w:hAnsiTheme="majorBidi" w:cstheme="majorBidi"/>
          <w:color w:val="222222"/>
          <w:sz w:val="24"/>
          <w:szCs w:val="24"/>
          <w:shd w:val="clear" w:color="auto" w:fill="FFFFFF"/>
        </w:rPr>
        <w:t>Conley, C. S. (2015). SEL in higher education. In J. A. Durlak, C. E. Domitrovich, R. P. Weissberg, &amp; T. P. Gullotta (Eds.), </w:t>
      </w:r>
      <w:r w:rsidRPr="00F01764">
        <w:rPr>
          <w:rFonts w:asciiTheme="majorBidi" w:hAnsiTheme="majorBidi" w:cstheme="majorBidi"/>
          <w:i/>
          <w:iCs/>
          <w:color w:val="222222"/>
          <w:sz w:val="24"/>
          <w:szCs w:val="24"/>
          <w:shd w:val="clear" w:color="auto" w:fill="FFFFFF"/>
        </w:rPr>
        <w:t>Handbook of social and emotional learning: Research and practice</w:t>
      </w:r>
      <w:r w:rsidRPr="00F01764">
        <w:rPr>
          <w:rFonts w:asciiTheme="majorBidi" w:hAnsiTheme="majorBidi" w:cstheme="majorBidi"/>
          <w:color w:val="222222"/>
          <w:sz w:val="24"/>
          <w:szCs w:val="24"/>
          <w:shd w:val="clear" w:color="auto" w:fill="FFFFFF"/>
        </w:rPr>
        <w:t> (pp.197–212). New York: Guilford.</w:t>
      </w:r>
    </w:p>
    <w:p w14:paraId="06A749CB" w14:textId="77777777" w:rsidR="007921EE" w:rsidRPr="00F01764" w:rsidRDefault="007921EE" w:rsidP="007921EE">
      <w:pPr>
        <w:rPr>
          <w:rFonts w:asciiTheme="majorBidi" w:hAnsiTheme="majorBidi" w:cstheme="majorBidi"/>
          <w:b/>
          <w:bCs/>
          <w:color w:val="28333D"/>
          <w:sz w:val="24"/>
          <w:szCs w:val="24"/>
          <w:highlight w:val="white"/>
        </w:rPr>
      </w:pPr>
    </w:p>
    <w:p w14:paraId="61E2F37E" w14:textId="23AA3432" w:rsidR="00E853B6" w:rsidRPr="00F01764" w:rsidRDefault="00E853B6" w:rsidP="007921EE">
      <w:pPr>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t>Elmi, C. (2020). Integrating social emotional learning strategies in higher education. </w:t>
      </w:r>
      <w:r w:rsidRPr="00F01764">
        <w:rPr>
          <w:rFonts w:asciiTheme="majorBidi" w:hAnsiTheme="majorBidi" w:cstheme="majorBidi"/>
          <w:i/>
          <w:iCs/>
          <w:color w:val="222222"/>
          <w:sz w:val="24"/>
          <w:szCs w:val="24"/>
          <w:shd w:val="clear" w:color="auto" w:fill="FFFFFF"/>
        </w:rPr>
        <w:t>European journal of investigation in health, psychology and education</w:t>
      </w:r>
      <w:r w:rsidRPr="00F01764">
        <w:rPr>
          <w:rFonts w:asciiTheme="majorBidi" w:hAnsiTheme="majorBidi" w:cstheme="majorBidi"/>
          <w:color w:val="222222"/>
          <w:sz w:val="24"/>
          <w:szCs w:val="24"/>
          <w:shd w:val="clear" w:color="auto" w:fill="FFFFFF"/>
        </w:rPr>
        <w:t>, </w:t>
      </w:r>
      <w:r w:rsidRPr="00F01764">
        <w:rPr>
          <w:rFonts w:asciiTheme="majorBidi" w:hAnsiTheme="majorBidi" w:cstheme="majorBidi"/>
          <w:i/>
          <w:iCs/>
          <w:color w:val="222222"/>
          <w:sz w:val="24"/>
          <w:szCs w:val="24"/>
          <w:shd w:val="clear" w:color="auto" w:fill="FFFFFF"/>
        </w:rPr>
        <w:t>10</w:t>
      </w:r>
      <w:r w:rsidRPr="00F01764">
        <w:rPr>
          <w:rFonts w:asciiTheme="majorBidi" w:hAnsiTheme="majorBidi" w:cstheme="majorBidi"/>
          <w:color w:val="222222"/>
          <w:sz w:val="24"/>
          <w:szCs w:val="24"/>
          <w:shd w:val="clear" w:color="auto" w:fill="FFFFFF"/>
        </w:rPr>
        <w:t xml:space="preserve">(3), 848-858. </w:t>
      </w:r>
      <w:hyperlink r:id="rId9" w:history="1">
        <w:r w:rsidRPr="00F01764">
          <w:rPr>
            <w:rStyle w:val="Hyperlink"/>
            <w:rFonts w:asciiTheme="majorBidi" w:hAnsiTheme="majorBidi" w:cstheme="majorBidi"/>
            <w:sz w:val="24"/>
            <w:szCs w:val="24"/>
            <w:shd w:val="clear" w:color="auto" w:fill="FFFFFF"/>
          </w:rPr>
          <w:t>https://www.mdpi.com/2254-9625/10/3/61</w:t>
        </w:r>
      </w:hyperlink>
    </w:p>
    <w:p w14:paraId="54D81B18" w14:textId="1A59F690" w:rsidR="007921EE" w:rsidRPr="00F01764" w:rsidRDefault="007921EE" w:rsidP="007921EE">
      <w:pPr>
        <w:spacing w:before="240" w:after="240"/>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t>Herrera, L. (2024). Social-emotional learning in ESOL with ninth-grade newcomers. </w:t>
      </w:r>
      <w:r w:rsidRPr="00F01764">
        <w:rPr>
          <w:rFonts w:asciiTheme="majorBidi" w:hAnsiTheme="majorBidi" w:cstheme="majorBidi"/>
          <w:i/>
          <w:iCs/>
          <w:color w:val="222222"/>
          <w:sz w:val="24"/>
          <w:szCs w:val="24"/>
          <w:shd w:val="clear" w:color="auto" w:fill="FFFFFF"/>
        </w:rPr>
        <w:t>ELT Journal</w:t>
      </w:r>
      <w:r w:rsidRPr="00F01764">
        <w:rPr>
          <w:rFonts w:asciiTheme="majorBidi" w:hAnsiTheme="majorBidi" w:cstheme="majorBidi"/>
          <w:color w:val="222222"/>
          <w:sz w:val="24"/>
          <w:szCs w:val="24"/>
          <w:shd w:val="clear" w:color="auto" w:fill="FFFFFF"/>
        </w:rPr>
        <w:t>, </w:t>
      </w:r>
      <w:r w:rsidRPr="00F01764">
        <w:rPr>
          <w:rFonts w:asciiTheme="majorBidi" w:hAnsiTheme="majorBidi" w:cstheme="majorBidi"/>
          <w:i/>
          <w:iCs/>
          <w:color w:val="222222"/>
          <w:sz w:val="24"/>
          <w:szCs w:val="24"/>
          <w:shd w:val="clear" w:color="auto" w:fill="FFFFFF"/>
        </w:rPr>
        <w:t>78</w:t>
      </w:r>
      <w:r w:rsidRPr="00F01764">
        <w:rPr>
          <w:rFonts w:asciiTheme="majorBidi" w:hAnsiTheme="majorBidi" w:cstheme="majorBidi"/>
          <w:color w:val="222222"/>
          <w:sz w:val="24"/>
          <w:szCs w:val="24"/>
          <w:shd w:val="clear" w:color="auto" w:fill="FFFFFF"/>
        </w:rPr>
        <w:t xml:space="preserve">(2), 127-136. </w:t>
      </w:r>
      <w:hyperlink r:id="rId10" w:history="1">
        <w:r w:rsidRPr="00F01764">
          <w:rPr>
            <w:rStyle w:val="Hyperlink"/>
            <w:rFonts w:asciiTheme="majorBidi" w:hAnsiTheme="majorBidi" w:cstheme="majorBidi"/>
            <w:sz w:val="24"/>
            <w:szCs w:val="24"/>
            <w:shd w:val="clear" w:color="auto" w:fill="FFFFFF"/>
          </w:rPr>
          <w:t>https://academic.oup.com/eltj/article-abstract/78/2/127/7382144</w:t>
        </w:r>
      </w:hyperlink>
    </w:p>
    <w:p w14:paraId="582A791D" w14:textId="624E0492" w:rsidR="007921EE" w:rsidRPr="00F01764" w:rsidRDefault="007921EE" w:rsidP="007921EE">
      <w:pPr>
        <w:spacing w:before="240" w:after="240"/>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lastRenderedPageBreak/>
        <w:t>Kaspar, K. L., &amp; Massey, S. L. (2023). Implementing social-emotional learning in the elementary classroom. </w:t>
      </w:r>
      <w:r w:rsidRPr="00F01764">
        <w:rPr>
          <w:rFonts w:asciiTheme="majorBidi" w:hAnsiTheme="majorBidi" w:cstheme="majorBidi"/>
          <w:i/>
          <w:iCs/>
          <w:color w:val="222222"/>
          <w:sz w:val="24"/>
          <w:szCs w:val="24"/>
          <w:shd w:val="clear" w:color="auto" w:fill="FFFFFF"/>
        </w:rPr>
        <w:t>Early Childhood Education Journal</w:t>
      </w:r>
      <w:r w:rsidRPr="00F01764">
        <w:rPr>
          <w:rFonts w:asciiTheme="majorBidi" w:hAnsiTheme="majorBidi" w:cstheme="majorBidi"/>
          <w:color w:val="222222"/>
          <w:sz w:val="24"/>
          <w:szCs w:val="24"/>
          <w:shd w:val="clear" w:color="auto" w:fill="FFFFFF"/>
        </w:rPr>
        <w:t>, </w:t>
      </w:r>
      <w:r w:rsidRPr="00F01764">
        <w:rPr>
          <w:rFonts w:asciiTheme="majorBidi" w:hAnsiTheme="majorBidi" w:cstheme="majorBidi"/>
          <w:i/>
          <w:iCs/>
          <w:color w:val="222222"/>
          <w:sz w:val="24"/>
          <w:szCs w:val="24"/>
          <w:shd w:val="clear" w:color="auto" w:fill="FFFFFF"/>
        </w:rPr>
        <w:t>51</w:t>
      </w:r>
      <w:r w:rsidRPr="00F01764">
        <w:rPr>
          <w:rFonts w:asciiTheme="majorBidi" w:hAnsiTheme="majorBidi" w:cstheme="majorBidi"/>
          <w:color w:val="222222"/>
          <w:sz w:val="24"/>
          <w:szCs w:val="24"/>
          <w:shd w:val="clear" w:color="auto" w:fill="FFFFFF"/>
        </w:rPr>
        <w:t xml:space="preserve">(4), 641-650. </w:t>
      </w:r>
      <w:hyperlink r:id="rId11" w:history="1">
        <w:r w:rsidRPr="00F01764">
          <w:rPr>
            <w:rStyle w:val="Hyperlink"/>
            <w:rFonts w:asciiTheme="majorBidi" w:hAnsiTheme="majorBidi" w:cstheme="majorBidi"/>
            <w:sz w:val="24"/>
            <w:szCs w:val="24"/>
            <w:shd w:val="clear" w:color="auto" w:fill="FFFFFF"/>
          </w:rPr>
          <w:t>https://link.springer.com/article/10.1007/s10643-022-01324-3</w:t>
        </w:r>
      </w:hyperlink>
    </w:p>
    <w:p w14:paraId="0BD467E5" w14:textId="77777777" w:rsidR="007921EE" w:rsidRPr="00F01764" w:rsidRDefault="007921EE" w:rsidP="007921EE">
      <w:pPr>
        <w:spacing w:before="240" w:after="240"/>
        <w:rPr>
          <w:rFonts w:asciiTheme="majorBidi" w:hAnsiTheme="majorBidi" w:cstheme="majorBidi"/>
          <w:color w:val="28333D"/>
          <w:sz w:val="24"/>
          <w:szCs w:val="24"/>
        </w:rPr>
      </w:pPr>
      <w:r w:rsidRPr="00F01764">
        <w:rPr>
          <w:rFonts w:asciiTheme="majorBidi" w:hAnsiTheme="majorBidi" w:cstheme="majorBidi"/>
          <w:color w:val="28333D"/>
          <w:sz w:val="24"/>
          <w:szCs w:val="24"/>
          <w:highlight w:val="white"/>
        </w:rPr>
        <w:t xml:space="preserve">Linh, L. (2020). ENGLISH LANGUAGE TEACHING INTEGRATED WITH SOCIAL EMOTIONAL LEARNING (SEL) IN RESPONSE TO STRESS EXPOSURE AT HIGHER EDUCATION. </w:t>
      </w:r>
      <w:r w:rsidRPr="00F01764">
        <w:rPr>
          <w:rFonts w:asciiTheme="majorBidi" w:hAnsiTheme="majorBidi" w:cstheme="majorBidi"/>
          <w:i/>
          <w:color w:val="28333D"/>
          <w:sz w:val="24"/>
          <w:szCs w:val="24"/>
          <w:highlight w:val="white"/>
        </w:rPr>
        <w:t>Journal of Science, Social Science</w:t>
      </w:r>
      <w:r w:rsidRPr="00F01764">
        <w:rPr>
          <w:rFonts w:asciiTheme="majorBidi" w:hAnsiTheme="majorBidi" w:cstheme="majorBidi"/>
          <w:color w:val="28333D"/>
          <w:sz w:val="24"/>
          <w:szCs w:val="24"/>
          <w:highlight w:val="white"/>
        </w:rPr>
        <w:t xml:space="preserve">, </w:t>
      </w:r>
      <w:r w:rsidRPr="00F01764">
        <w:rPr>
          <w:rFonts w:asciiTheme="majorBidi" w:hAnsiTheme="majorBidi" w:cstheme="majorBidi"/>
          <w:i/>
          <w:iCs/>
          <w:color w:val="28333D"/>
          <w:sz w:val="24"/>
          <w:szCs w:val="24"/>
          <w:highlight w:val="white"/>
        </w:rPr>
        <w:t>65</w:t>
      </w:r>
      <w:r w:rsidRPr="00F01764">
        <w:rPr>
          <w:rFonts w:asciiTheme="majorBidi" w:hAnsiTheme="majorBidi" w:cstheme="majorBidi"/>
          <w:color w:val="28333D"/>
          <w:sz w:val="24"/>
          <w:szCs w:val="24"/>
          <w:highlight w:val="white"/>
        </w:rPr>
        <w:t>(5), 93-109.</w:t>
      </w:r>
      <w:hyperlink r:id="rId12">
        <w:r w:rsidRPr="00F01764">
          <w:rPr>
            <w:rFonts w:asciiTheme="majorBidi" w:hAnsiTheme="majorBidi" w:cstheme="majorBidi"/>
            <w:color w:val="28333D"/>
            <w:sz w:val="24"/>
            <w:szCs w:val="24"/>
            <w:highlight w:val="white"/>
          </w:rPr>
          <w:t xml:space="preserve"> </w:t>
        </w:r>
      </w:hyperlink>
      <w:r w:rsidRPr="00F01764">
        <w:rPr>
          <w:rFonts w:asciiTheme="majorBidi" w:hAnsiTheme="majorBidi" w:cstheme="majorBidi"/>
          <w:sz w:val="24"/>
          <w:szCs w:val="24"/>
        </w:rPr>
        <w:t xml:space="preserve"> </w:t>
      </w:r>
      <w:hyperlink r:id="rId13" w:history="1">
        <w:r w:rsidRPr="00F01764">
          <w:rPr>
            <w:rStyle w:val="Hyperlink"/>
            <w:rFonts w:asciiTheme="majorBidi" w:hAnsiTheme="majorBidi" w:cstheme="majorBidi"/>
            <w:sz w:val="24"/>
            <w:szCs w:val="24"/>
          </w:rPr>
          <w:t>https://vjol.info.vn/index.php/DHSPHN/article/view/57026/47923</w:t>
        </w:r>
      </w:hyperlink>
    </w:p>
    <w:p w14:paraId="2D4258EE" w14:textId="2B57E93D" w:rsidR="007921EE" w:rsidRPr="00F01764" w:rsidRDefault="007921EE" w:rsidP="007921EE">
      <w:pPr>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t xml:space="preserve">Madden-Dent, T., Oliver, D., Stratton, B., Strand, E. A., &amp; Reed, K. (2021). Higher Education Leading </w:t>
      </w:r>
      <w:r w:rsidR="00F01764" w:rsidRPr="00F01764">
        <w:rPr>
          <w:rFonts w:asciiTheme="majorBidi" w:hAnsiTheme="majorBidi" w:cstheme="majorBidi"/>
          <w:color w:val="222222"/>
          <w:sz w:val="24"/>
          <w:szCs w:val="24"/>
          <w:shd w:val="clear" w:color="auto" w:fill="FFFFFF"/>
        </w:rPr>
        <w:t>with</w:t>
      </w:r>
      <w:r w:rsidRPr="00F01764">
        <w:rPr>
          <w:rFonts w:asciiTheme="majorBidi" w:hAnsiTheme="majorBidi" w:cstheme="majorBidi"/>
          <w:color w:val="222222"/>
          <w:sz w:val="24"/>
          <w:szCs w:val="24"/>
          <w:shd w:val="clear" w:color="auto" w:fill="FFFFFF"/>
        </w:rPr>
        <w:t xml:space="preserve"> Social, Emotional, and Academic Development: University Case Study on Explicit SEAD Coursework. In </w:t>
      </w:r>
      <w:r w:rsidRPr="00F01764">
        <w:rPr>
          <w:rFonts w:asciiTheme="majorBidi" w:hAnsiTheme="majorBidi" w:cstheme="majorBidi"/>
          <w:i/>
          <w:iCs/>
          <w:color w:val="222222"/>
          <w:sz w:val="24"/>
          <w:szCs w:val="24"/>
          <w:shd w:val="clear" w:color="auto" w:fill="FFFFFF"/>
        </w:rPr>
        <w:t xml:space="preserve">Leading Schools </w:t>
      </w:r>
      <w:r w:rsidR="00F01764" w:rsidRPr="00F01764">
        <w:rPr>
          <w:rFonts w:asciiTheme="majorBidi" w:hAnsiTheme="majorBidi" w:cstheme="majorBidi"/>
          <w:i/>
          <w:iCs/>
          <w:color w:val="222222"/>
          <w:sz w:val="24"/>
          <w:szCs w:val="24"/>
          <w:shd w:val="clear" w:color="auto" w:fill="FFFFFF"/>
        </w:rPr>
        <w:t>with</w:t>
      </w:r>
      <w:r w:rsidRPr="00F01764">
        <w:rPr>
          <w:rFonts w:asciiTheme="majorBidi" w:hAnsiTheme="majorBidi" w:cstheme="majorBidi"/>
          <w:i/>
          <w:iCs/>
          <w:color w:val="222222"/>
          <w:sz w:val="24"/>
          <w:szCs w:val="24"/>
          <w:shd w:val="clear" w:color="auto" w:fill="FFFFFF"/>
        </w:rPr>
        <w:t xml:space="preserve"> Social, Emotional, and Academic Development (SEAD)</w:t>
      </w:r>
      <w:r w:rsidRPr="00F01764">
        <w:rPr>
          <w:rFonts w:asciiTheme="majorBidi" w:hAnsiTheme="majorBidi" w:cstheme="majorBidi"/>
          <w:color w:val="222222"/>
          <w:sz w:val="24"/>
          <w:szCs w:val="24"/>
          <w:shd w:val="clear" w:color="auto" w:fill="FFFFFF"/>
        </w:rPr>
        <w:t> (pp. 56-77). IGI Global.</w:t>
      </w:r>
    </w:p>
    <w:p w14:paraId="65C2AD38" w14:textId="3C87D8A9" w:rsidR="00DF10FD" w:rsidRPr="00F01764" w:rsidRDefault="007921EE" w:rsidP="007921EE">
      <w:pPr>
        <w:spacing w:before="240" w:after="240"/>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t>Mahoney, J. L., Weissberg, R. P., Greenberg, M. T., Dusenbury, L., Jagers, R. J., Niemi, K., ... &amp; Yoder, N. (2021). Systemic social and emotional learning: Promoting educational success for all preschool to high school students. </w:t>
      </w:r>
      <w:r w:rsidRPr="00F01764">
        <w:rPr>
          <w:rFonts w:asciiTheme="majorBidi" w:hAnsiTheme="majorBidi" w:cstheme="majorBidi"/>
          <w:i/>
          <w:iCs/>
          <w:color w:val="222222"/>
          <w:sz w:val="24"/>
          <w:szCs w:val="24"/>
          <w:shd w:val="clear" w:color="auto" w:fill="FFFFFF"/>
        </w:rPr>
        <w:t>American Psychologist</w:t>
      </w:r>
      <w:r w:rsidRPr="00F01764">
        <w:rPr>
          <w:rFonts w:asciiTheme="majorBidi" w:hAnsiTheme="majorBidi" w:cstheme="majorBidi"/>
          <w:color w:val="222222"/>
          <w:sz w:val="24"/>
          <w:szCs w:val="24"/>
          <w:shd w:val="clear" w:color="auto" w:fill="FFFFFF"/>
        </w:rPr>
        <w:t>, </w:t>
      </w:r>
      <w:r w:rsidRPr="00F01764">
        <w:rPr>
          <w:rFonts w:asciiTheme="majorBidi" w:hAnsiTheme="majorBidi" w:cstheme="majorBidi"/>
          <w:i/>
          <w:iCs/>
          <w:color w:val="222222"/>
          <w:sz w:val="24"/>
          <w:szCs w:val="24"/>
          <w:shd w:val="clear" w:color="auto" w:fill="FFFFFF"/>
        </w:rPr>
        <w:t>76</w:t>
      </w:r>
      <w:r w:rsidRPr="00F01764">
        <w:rPr>
          <w:rFonts w:asciiTheme="majorBidi" w:hAnsiTheme="majorBidi" w:cstheme="majorBidi"/>
          <w:color w:val="222222"/>
          <w:sz w:val="24"/>
          <w:szCs w:val="24"/>
          <w:shd w:val="clear" w:color="auto" w:fill="FFFFFF"/>
        </w:rPr>
        <w:t xml:space="preserve">(7), 1128. </w:t>
      </w:r>
      <w:hyperlink r:id="rId14" w:history="1">
        <w:r w:rsidRPr="00F01764">
          <w:rPr>
            <w:rStyle w:val="Hyperlink"/>
            <w:rFonts w:asciiTheme="majorBidi" w:hAnsiTheme="majorBidi" w:cstheme="majorBidi"/>
            <w:sz w:val="24"/>
            <w:szCs w:val="24"/>
            <w:shd w:val="clear" w:color="auto" w:fill="FFFFFF"/>
          </w:rPr>
          <w:t>https://psycnet.apa.org/buy/2020-74076-001</w:t>
        </w:r>
      </w:hyperlink>
    </w:p>
    <w:p w14:paraId="019FE89C" w14:textId="2A06A761" w:rsidR="00CE2902" w:rsidRPr="00F01764" w:rsidRDefault="00CE2902" w:rsidP="00F01764">
      <w:pPr>
        <w:rPr>
          <w:rFonts w:asciiTheme="majorBidi" w:hAnsiTheme="majorBidi" w:cstheme="majorBidi"/>
          <w:color w:val="28333D"/>
          <w:sz w:val="24"/>
          <w:szCs w:val="24"/>
        </w:rPr>
      </w:pPr>
      <w:r w:rsidRPr="00F01764">
        <w:rPr>
          <w:rFonts w:asciiTheme="majorBidi" w:hAnsiTheme="majorBidi" w:cstheme="majorBidi"/>
          <w:color w:val="28333D"/>
          <w:sz w:val="24"/>
          <w:szCs w:val="24"/>
          <w:highlight w:val="white"/>
        </w:rPr>
        <w:t xml:space="preserve">Palamar, B., Zhelanova, V., Leontieva, I., Palamar, S., Kosharna, N., Petryk, L., &amp; Mykhailichenko, M. (2024). IMPLEMENTATION OF SOCIO-EMOTIONAL LEARNING IN THE MODERN UNIVERSITY: GOING BEYOND AN ACADEMIC EDUCATION. </w:t>
      </w:r>
      <w:r w:rsidRPr="00F01764">
        <w:rPr>
          <w:rFonts w:asciiTheme="majorBidi" w:hAnsiTheme="majorBidi" w:cstheme="majorBidi"/>
          <w:i/>
          <w:color w:val="28333D"/>
          <w:sz w:val="24"/>
          <w:szCs w:val="24"/>
          <w:highlight w:val="white"/>
        </w:rPr>
        <w:t>Clinical and Preventive Medicine</w:t>
      </w:r>
      <w:r w:rsidR="00E853B6" w:rsidRPr="00F01764">
        <w:rPr>
          <w:rFonts w:asciiTheme="majorBidi" w:hAnsiTheme="majorBidi" w:cstheme="majorBidi"/>
          <w:i/>
          <w:color w:val="28333D"/>
          <w:sz w:val="24"/>
          <w:szCs w:val="24"/>
          <w:highlight w:val="white"/>
        </w:rPr>
        <w:t>,7(</w:t>
      </w:r>
      <w:r w:rsidR="00E853B6" w:rsidRPr="00F01764">
        <w:rPr>
          <w:rFonts w:asciiTheme="majorBidi" w:hAnsiTheme="majorBidi" w:cstheme="majorBidi"/>
          <w:iCs/>
          <w:color w:val="28333D"/>
          <w:sz w:val="24"/>
          <w:szCs w:val="24"/>
          <w:highlight w:val="white"/>
        </w:rPr>
        <w:t xml:space="preserve">37), </w:t>
      </w:r>
      <w:r w:rsidR="00E853B6" w:rsidRPr="00F01764">
        <w:rPr>
          <w:rFonts w:asciiTheme="majorBidi" w:hAnsiTheme="majorBidi" w:cstheme="majorBidi"/>
          <w:color w:val="222222"/>
          <w:sz w:val="24"/>
          <w:szCs w:val="24"/>
          <w:shd w:val="clear" w:color="auto" w:fill="FFFFFF"/>
        </w:rPr>
        <w:t>95-102.</w:t>
      </w:r>
      <w:r w:rsidR="00E853B6" w:rsidRPr="00F01764">
        <w:rPr>
          <w:rFonts w:asciiTheme="majorBidi" w:hAnsiTheme="majorBidi" w:cstheme="majorBidi"/>
          <w:color w:val="28333D"/>
          <w:sz w:val="24"/>
          <w:szCs w:val="24"/>
          <w:highlight w:val="white"/>
        </w:rPr>
        <w:t xml:space="preserve"> </w:t>
      </w:r>
      <w:hyperlink r:id="rId15" w:history="1">
        <w:r w:rsidR="00544195" w:rsidRPr="00F01764">
          <w:rPr>
            <w:rStyle w:val="Hyperlink"/>
            <w:rFonts w:asciiTheme="majorBidi" w:hAnsiTheme="majorBidi" w:cstheme="majorBidi"/>
            <w:sz w:val="24"/>
            <w:szCs w:val="24"/>
          </w:rPr>
          <w:t>https://elibrary.kubg.edu.ua/id/eprint/50953/</w:t>
        </w:r>
      </w:hyperlink>
    </w:p>
    <w:p w14:paraId="1925AA27" w14:textId="77EF1507" w:rsidR="007921EE" w:rsidRPr="00F01764" w:rsidRDefault="007921EE" w:rsidP="007921EE">
      <w:pPr>
        <w:spacing w:before="240" w:after="240"/>
        <w:rPr>
          <w:rFonts w:asciiTheme="majorBidi" w:hAnsiTheme="majorBidi" w:cstheme="majorBidi"/>
          <w:sz w:val="24"/>
          <w:szCs w:val="24"/>
        </w:rPr>
      </w:pPr>
      <w:r w:rsidRPr="00F01764">
        <w:rPr>
          <w:rFonts w:asciiTheme="majorBidi" w:hAnsiTheme="majorBidi" w:cstheme="majorBidi"/>
          <w:color w:val="28333D"/>
          <w:sz w:val="24"/>
          <w:szCs w:val="24"/>
          <w:highlight w:val="white"/>
        </w:rPr>
        <w:t xml:space="preserve">Pental, K. (2025). Bridging Academic Rigor and Emotional Development: Teachers’ Perceptions of Social-Emotional Learning in Indian Higher-Secondary Education. </w:t>
      </w:r>
      <w:r w:rsidRPr="00F01764">
        <w:rPr>
          <w:rFonts w:asciiTheme="majorBidi" w:hAnsiTheme="majorBidi" w:cstheme="majorBidi"/>
          <w:i/>
          <w:color w:val="28333D"/>
          <w:sz w:val="24"/>
          <w:szCs w:val="24"/>
          <w:highlight w:val="white"/>
        </w:rPr>
        <w:t xml:space="preserve">International Journal </w:t>
      </w:r>
      <w:r w:rsidR="00F01764" w:rsidRPr="00F01764">
        <w:rPr>
          <w:rFonts w:asciiTheme="majorBidi" w:hAnsiTheme="majorBidi" w:cstheme="majorBidi"/>
          <w:i/>
          <w:color w:val="28333D"/>
          <w:sz w:val="24"/>
          <w:szCs w:val="24"/>
          <w:highlight w:val="white"/>
        </w:rPr>
        <w:t>for</w:t>
      </w:r>
      <w:r w:rsidRPr="00F01764">
        <w:rPr>
          <w:rFonts w:asciiTheme="majorBidi" w:hAnsiTheme="majorBidi" w:cstheme="majorBidi"/>
          <w:i/>
          <w:color w:val="28333D"/>
          <w:sz w:val="24"/>
          <w:szCs w:val="24"/>
          <w:highlight w:val="white"/>
        </w:rPr>
        <w:t xml:space="preserve"> Multidisciplinary Research</w:t>
      </w:r>
      <w:r w:rsidRPr="00F01764">
        <w:rPr>
          <w:rFonts w:asciiTheme="majorBidi" w:hAnsiTheme="majorBidi" w:cstheme="majorBidi"/>
          <w:color w:val="28333D"/>
          <w:sz w:val="24"/>
          <w:szCs w:val="24"/>
        </w:rPr>
        <w:t xml:space="preserve">, </w:t>
      </w:r>
      <w:r w:rsidRPr="00F01764">
        <w:rPr>
          <w:rFonts w:asciiTheme="majorBidi" w:hAnsiTheme="majorBidi" w:cstheme="majorBidi"/>
          <w:i/>
          <w:iCs/>
          <w:color w:val="28333D"/>
          <w:sz w:val="24"/>
          <w:szCs w:val="24"/>
        </w:rPr>
        <w:t>7</w:t>
      </w:r>
      <w:r w:rsidRPr="00F01764">
        <w:rPr>
          <w:rFonts w:asciiTheme="majorBidi" w:hAnsiTheme="majorBidi" w:cstheme="majorBidi"/>
          <w:color w:val="28333D"/>
          <w:sz w:val="24"/>
          <w:szCs w:val="24"/>
        </w:rPr>
        <w:t xml:space="preserve">(2). </w:t>
      </w:r>
      <w:r w:rsidRPr="00F01764">
        <w:rPr>
          <w:rFonts w:asciiTheme="majorBidi" w:hAnsiTheme="majorBidi" w:cstheme="majorBidi"/>
          <w:sz w:val="24"/>
          <w:szCs w:val="24"/>
        </w:rPr>
        <w:t xml:space="preserve"> </w:t>
      </w:r>
      <w:hyperlink r:id="rId16" w:history="1">
        <w:r w:rsidRPr="00F01764">
          <w:rPr>
            <w:rStyle w:val="Hyperlink"/>
            <w:rFonts w:asciiTheme="majorBidi" w:hAnsiTheme="majorBidi" w:cstheme="majorBidi"/>
            <w:sz w:val="24"/>
            <w:szCs w:val="24"/>
          </w:rPr>
          <w:t>https://www.ijfmr.com/research-paper.php?id=38788</w:t>
        </w:r>
      </w:hyperlink>
    </w:p>
    <w:p w14:paraId="156378C9" w14:textId="1FB7DE86" w:rsidR="007921EE" w:rsidRPr="00F01764" w:rsidRDefault="007921EE" w:rsidP="007921EE">
      <w:pPr>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t>Simion, A. (2023). The impact of socio-emotional learning (SEL) on academic evaluation in higher education. </w:t>
      </w:r>
      <w:r w:rsidRPr="00F01764">
        <w:rPr>
          <w:rFonts w:asciiTheme="majorBidi" w:hAnsiTheme="majorBidi" w:cstheme="majorBidi"/>
          <w:i/>
          <w:iCs/>
          <w:color w:val="222222"/>
          <w:sz w:val="24"/>
          <w:szCs w:val="24"/>
          <w:shd w:val="clear" w:color="auto" w:fill="FFFFFF"/>
        </w:rPr>
        <w:t>Educatia 21</w:t>
      </w:r>
      <w:r w:rsidRPr="00F01764">
        <w:rPr>
          <w:rFonts w:asciiTheme="majorBidi" w:hAnsiTheme="majorBidi" w:cstheme="majorBidi"/>
          <w:color w:val="222222"/>
          <w:sz w:val="24"/>
          <w:szCs w:val="24"/>
          <w:shd w:val="clear" w:color="auto" w:fill="FFFFFF"/>
        </w:rPr>
        <w:t xml:space="preserve">, (24), 109-117. </w:t>
      </w:r>
      <w:hyperlink r:id="rId17" w:history="1">
        <w:r w:rsidRPr="00F01764">
          <w:rPr>
            <w:rStyle w:val="Hyperlink"/>
            <w:rFonts w:asciiTheme="majorBidi" w:hAnsiTheme="majorBidi" w:cstheme="majorBidi"/>
            <w:sz w:val="24"/>
            <w:szCs w:val="24"/>
            <w:shd w:val="clear" w:color="auto" w:fill="FFFFFF"/>
          </w:rPr>
          <w:t>https://www.ceeol.com/search/article-detail?id=1193955</w:t>
        </w:r>
      </w:hyperlink>
    </w:p>
    <w:p w14:paraId="3FA5EBE9" w14:textId="77777777" w:rsidR="007921EE" w:rsidRPr="00F01764" w:rsidRDefault="00544195" w:rsidP="007921EE">
      <w:pPr>
        <w:spacing w:before="240" w:after="240"/>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t>Wicaksono, M., &amp; Saraswati, N. (2024). Social emotional learning in ELT: Opportunities and challenges. </w:t>
      </w:r>
      <w:r w:rsidRPr="00F01764">
        <w:rPr>
          <w:rFonts w:asciiTheme="majorBidi" w:hAnsiTheme="majorBidi" w:cstheme="majorBidi"/>
          <w:i/>
          <w:iCs/>
          <w:color w:val="222222"/>
          <w:sz w:val="24"/>
          <w:szCs w:val="24"/>
          <w:shd w:val="clear" w:color="auto" w:fill="FFFFFF"/>
        </w:rPr>
        <w:t>Global Expert: Jurnal Bahasa dan Sastra</w:t>
      </w:r>
      <w:r w:rsidRPr="00F01764">
        <w:rPr>
          <w:rFonts w:asciiTheme="majorBidi" w:hAnsiTheme="majorBidi" w:cstheme="majorBidi"/>
          <w:color w:val="222222"/>
          <w:sz w:val="24"/>
          <w:szCs w:val="24"/>
          <w:shd w:val="clear" w:color="auto" w:fill="FFFFFF"/>
        </w:rPr>
        <w:t>, </w:t>
      </w:r>
      <w:r w:rsidRPr="00F01764">
        <w:rPr>
          <w:rFonts w:asciiTheme="majorBidi" w:hAnsiTheme="majorBidi" w:cstheme="majorBidi"/>
          <w:i/>
          <w:iCs/>
          <w:color w:val="222222"/>
          <w:sz w:val="24"/>
          <w:szCs w:val="24"/>
          <w:shd w:val="clear" w:color="auto" w:fill="FFFFFF"/>
        </w:rPr>
        <w:t>12</w:t>
      </w:r>
      <w:r w:rsidRPr="00F01764">
        <w:rPr>
          <w:rFonts w:asciiTheme="majorBidi" w:hAnsiTheme="majorBidi" w:cstheme="majorBidi"/>
          <w:color w:val="222222"/>
          <w:sz w:val="24"/>
          <w:szCs w:val="24"/>
          <w:shd w:val="clear" w:color="auto" w:fill="FFFFFF"/>
        </w:rPr>
        <w:t xml:space="preserve">(1), 25-33. </w:t>
      </w:r>
      <w:hyperlink r:id="rId18" w:history="1">
        <w:r w:rsidRPr="00F01764">
          <w:rPr>
            <w:rStyle w:val="Hyperlink"/>
            <w:rFonts w:asciiTheme="majorBidi" w:hAnsiTheme="majorBidi" w:cstheme="majorBidi"/>
            <w:sz w:val="24"/>
            <w:szCs w:val="24"/>
            <w:shd w:val="clear" w:color="auto" w:fill="FFFFFF"/>
          </w:rPr>
          <w:t>https://ejournal.uigm.ac.id/index.php/GE/article/view/4427</w:t>
        </w:r>
      </w:hyperlink>
      <w:bookmarkStart w:id="0" w:name="_p05osudywof6" w:colFirst="0" w:colLast="0"/>
      <w:bookmarkEnd w:id="0"/>
    </w:p>
    <w:p w14:paraId="50643379" w14:textId="2EBF0763" w:rsidR="00196169" w:rsidRPr="00F01764" w:rsidRDefault="0086359D" w:rsidP="00DD0903">
      <w:pPr>
        <w:spacing w:before="240" w:after="240"/>
        <w:rPr>
          <w:rFonts w:asciiTheme="majorBidi" w:hAnsiTheme="majorBidi" w:cstheme="majorBidi"/>
          <w:color w:val="222222"/>
          <w:sz w:val="24"/>
          <w:szCs w:val="24"/>
          <w:shd w:val="clear" w:color="auto" w:fill="FFFFFF"/>
        </w:rPr>
      </w:pPr>
      <w:r w:rsidRPr="00F01764">
        <w:rPr>
          <w:rFonts w:asciiTheme="majorBidi" w:hAnsiTheme="majorBidi" w:cstheme="majorBidi"/>
          <w:color w:val="222222"/>
          <w:sz w:val="24"/>
          <w:szCs w:val="24"/>
          <w:shd w:val="clear" w:color="auto" w:fill="FFFFFF"/>
        </w:rPr>
        <w:t>Williamson, B. (2021). Psychodata: disassembling the psychological, economic, and statistical infrastructure of ‘social-emotional learning’. </w:t>
      </w:r>
      <w:r w:rsidRPr="00F01764">
        <w:rPr>
          <w:rFonts w:asciiTheme="majorBidi" w:hAnsiTheme="majorBidi" w:cstheme="majorBidi"/>
          <w:i/>
          <w:iCs/>
          <w:color w:val="222222"/>
          <w:sz w:val="24"/>
          <w:szCs w:val="24"/>
          <w:shd w:val="clear" w:color="auto" w:fill="FFFFFF"/>
        </w:rPr>
        <w:t>Journal of Education Policy</w:t>
      </w:r>
      <w:r w:rsidRPr="00F01764">
        <w:rPr>
          <w:rFonts w:asciiTheme="majorBidi" w:hAnsiTheme="majorBidi" w:cstheme="majorBidi"/>
          <w:color w:val="222222"/>
          <w:sz w:val="24"/>
          <w:szCs w:val="24"/>
          <w:shd w:val="clear" w:color="auto" w:fill="FFFFFF"/>
        </w:rPr>
        <w:t>, </w:t>
      </w:r>
      <w:r w:rsidRPr="00F01764">
        <w:rPr>
          <w:rFonts w:asciiTheme="majorBidi" w:hAnsiTheme="majorBidi" w:cstheme="majorBidi"/>
          <w:i/>
          <w:iCs/>
          <w:color w:val="222222"/>
          <w:sz w:val="24"/>
          <w:szCs w:val="24"/>
          <w:shd w:val="clear" w:color="auto" w:fill="FFFFFF"/>
        </w:rPr>
        <w:t>36</w:t>
      </w:r>
      <w:r w:rsidRPr="00F01764">
        <w:rPr>
          <w:rFonts w:asciiTheme="majorBidi" w:hAnsiTheme="majorBidi" w:cstheme="majorBidi"/>
          <w:color w:val="222222"/>
          <w:sz w:val="24"/>
          <w:szCs w:val="24"/>
          <w:shd w:val="clear" w:color="auto" w:fill="FFFFFF"/>
        </w:rPr>
        <w:t xml:space="preserve">(1), 129-154. </w:t>
      </w:r>
      <w:hyperlink r:id="rId19" w:history="1">
        <w:r w:rsidRPr="00F01764">
          <w:rPr>
            <w:rStyle w:val="Hyperlink"/>
            <w:rFonts w:asciiTheme="majorBidi" w:hAnsiTheme="majorBidi" w:cstheme="majorBidi"/>
            <w:sz w:val="24"/>
            <w:szCs w:val="24"/>
            <w:shd w:val="clear" w:color="auto" w:fill="FFFFFF"/>
          </w:rPr>
          <w:t>https://doi.org/10.1080/02680939.2019.1672895</w:t>
        </w:r>
      </w:hyperlink>
    </w:p>
    <w:p w14:paraId="58BADEDE" w14:textId="65695326" w:rsidR="00DF10FD" w:rsidRPr="00F01764" w:rsidRDefault="00DD0903">
      <w:pPr>
        <w:rPr>
          <w:rFonts w:asciiTheme="majorBidi" w:hAnsiTheme="majorBidi" w:cstheme="majorBidi"/>
          <w:color w:val="28333D"/>
          <w:sz w:val="24"/>
          <w:szCs w:val="24"/>
        </w:rPr>
      </w:pPr>
      <w:r w:rsidRPr="00F01764">
        <w:rPr>
          <w:rFonts w:asciiTheme="majorBidi" w:hAnsiTheme="majorBidi" w:cstheme="majorBidi"/>
          <w:color w:val="28333D"/>
          <w:sz w:val="24"/>
          <w:szCs w:val="24"/>
          <w:highlight w:val="white"/>
        </w:rPr>
        <w:t xml:space="preserve">World Economic Forum. (2025). What are the most valuable skills for the jobs of the future. </w:t>
      </w:r>
      <w:hyperlink r:id="rId20" w:history="1">
        <w:r w:rsidRPr="00F01764">
          <w:rPr>
            <w:rStyle w:val="Hyperlink"/>
            <w:rFonts w:asciiTheme="majorBidi" w:hAnsiTheme="majorBidi" w:cstheme="majorBidi"/>
            <w:sz w:val="24"/>
            <w:szCs w:val="24"/>
          </w:rPr>
          <w:t>https://www.weforum.org/videos/future-of-jobs-valuable-skills/</w:t>
        </w:r>
      </w:hyperlink>
    </w:p>
    <w:p w14:paraId="512253C0" w14:textId="77777777" w:rsidR="00DD0903" w:rsidRPr="00F01764" w:rsidRDefault="00DD0903">
      <w:pPr>
        <w:rPr>
          <w:rFonts w:asciiTheme="majorBidi" w:hAnsiTheme="majorBidi" w:cstheme="majorBidi"/>
          <w:color w:val="28333D"/>
          <w:sz w:val="24"/>
          <w:szCs w:val="24"/>
          <w:highlight w:val="white"/>
        </w:rPr>
      </w:pPr>
    </w:p>
    <w:p w14:paraId="1AA66721" w14:textId="77777777" w:rsidR="000272EF" w:rsidRDefault="000272EF">
      <w:pPr>
        <w:rPr>
          <w:rFonts w:asciiTheme="majorBidi" w:hAnsiTheme="majorBidi" w:cstheme="majorBidi"/>
          <w:color w:val="28333D"/>
          <w:sz w:val="24"/>
          <w:szCs w:val="24"/>
          <w:highlight w:val="white"/>
        </w:rPr>
      </w:pPr>
    </w:p>
    <w:p w14:paraId="7612317D" w14:textId="4BBFEA7D" w:rsidR="00681371" w:rsidRPr="00CE2902" w:rsidRDefault="000272EF" w:rsidP="004D025A">
      <w:pPr>
        <w:spacing w:line="240" w:lineRule="auto"/>
        <w:rPr>
          <w:rFonts w:asciiTheme="majorBidi" w:hAnsiTheme="majorBidi" w:cstheme="majorBidi"/>
          <w:color w:val="28333D"/>
          <w:sz w:val="32"/>
          <w:szCs w:val="32"/>
          <w:highlight w:val="white"/>
        </w:rPr>
      </w:pPr>
      <w:bookmarkStart w:id="1" w:name="_Hlk207462453"/>
      <w:r w:rsidRPr="000272EF">
        <w:rPr>
          <w:rFonts w:ascii="Times New Roman" w:eastAsia="Times New Roman" w:hAnsi="Times New Roman" w:cs="Times New Roman"/>
          <w:b/>
          <w:sz w:val="24"/>
          <w:szCs w:val="24"/>
          <w:lang w:val="en-US" w:eastAsia="pl-PL"/>
        </w:rPr>
        <w:t xml:space="preserve">Please check the </w:t>
      </w:r>
      <w:r w:rsidRPr="000272EF">
        <w:rPr>
          <w:rFonts w:ascii="Times New Roman" w:eastAsia="Times New Roman" w:hAnsi="Times New Roman" w:cs="Times New Roman"/>
          <w:b/>
          <w:bCs/>
          <w:sz w:val="24"/>
          <w:szCs w:val="24"/>
          <w:u w:val="single"/>
          <w:lang w:val="en-GB" w:eastAsia="pl-PL"/>
        </w:rPr>
        <w:t>Pilgrims in Segovia Teacher Training courses 2026</w:t>
      </w:r>
      <w:r w:rsidRPr="000272EF">
        <w:rPr>
          <w:rFonts w:ascii="Times New Roman" w:eastAsia="Times New Roman" w:hAnsi="Times New Roman" w:cs="Times New Roman"/>
          <w:b/>
          <w:bCs/>
          <w:sz w:val="24"/>
          <w:szCs w:val="24"/>
          <w:lang w:val="en-GB" w:eastAsia="pl-PL"/>
        </w:rPr>
        <w:t xml:space="preserve"> </w:t>
      </w:r>
      <w:r w:rsidRPr="000272EF">
        <w:rPr>
          <w:rFonts w:ascii="Times New Roman" w:eastAsia="Times New Roman" w:hAnsi="Times New Roman" w:cs="Times New Roman"/>
          <w:b/>
          <w:sz w:val="24"/>
          <w:szCs w:val="24"/>
          <w:lang w:val="en-US" w:eastAsia="pl-PL"/>
        </w:rPr>
        <w:t>at Pilgrims website.</w:t>
      </w:r>
      <w:bookmarkEnd w:id="1"/>
    </w:p>
    <w:sectPr w:rsidR="00681371" w:rsidRPr="00CE2902">
      <w:pgSz w:w="11906" w:h="16838"/>
      <w:pgMar w:top="1440" w:right="1267" w:bottom="1440" w:left="1526"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F10FD"/>
    <w:rsid w:val="000272EF"/>
    <w:rsid w:val="0009498D"/>
    <w:rsid w:val="0011211B"/>
    <w:rsid w:val="00196169"/>
    <w:rsid w:val="001F6E1C"/>
    <w:rsid w:val="003B0C48"/>
    <w:rsid w:val="004D025A"/>
    <w:rsid w:val="00544195"/>
    <w:rsid w:val="00656810"/>
    <w:rsid w:val="00681371"/>
    <w:rsid w:val="007921EE"/>
    <w:rsid w:val="007F1BD3"/>
    <w:rsid w:val="0086359D"/>
    <w:rsid w:val="008B7D17"/>
    <w:rsid w:val="00A94D8E"/>
    <w:rsid w:val="00AC052D"/>
    <w:rsid w:val="00B8006A"/>
    <w:rsid w:val="00C341B1"/>
    <w:rsid w:val="00C53373"/>
    <w:rsid w:val="00CC316C"/>
    <w:rsid w:val="00CE2902"/>
    <w:rsid w:val="00DD0903"/>
    <w:rsid w:val="00DF10FD"/>
    <w:rsid w:val="00E853B6"/>
    <w:rsid w:val="00F0176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E52E264"/>
  <w15:docId w15:val="{2268E9AC-2219-4CAF-B010-BBE12188B6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100" w:type="dxa"/>
        <w:left w:w="100" w:type="dxa"/>
        <w:bottom w:w="100" w:type="dxa"/>
        <w:right w:w="100" w:type="dxa"/>
      </w:tblCellMar>
    </w:tblPr>
  </w:style>
  <w:style w:type="character" w:styleId="Hyperlink">
    <w:name w:val="Hyperlink"/>
    <w:basedOn w:val="DefaultParagraphFont"/>
    <w:uiPriority w:val="99"/>
    <w:unhideWhenUsed/>
    <w:rsid w:val="00E853B6"/>
    <w:rPr>
      <w:color w:val="0000FF" w:themeColor="hyperlink"/>
      <w:u w:val="single"/>
    </w:rPr>
  </w:style>
  <w:style w:type="character" w:styleId="UnresolvedMention">
    <w:name w:val="Unresolved Mention"/>
    <w:basedOn w:val="DefaultParagraphFont"/>
    <w:uiPriority w:val="99"/>
    <w:semiHidden/>
    <w:unhideWhenUsed/>
    <w:rsid w:val="00E853B6"/>
    <w:rPr>
      <w:color w:val="605E5C"/>
      <w:shd w:val="clear" w:color="auto" w:fill="E1DFDD"/>
    </w:rPr>
  </w:style>
  <w:style w:type="character" w:styleId="FollowedHyperlink">
    <w:name w:val="FollowedHyperlink"/>
    <w:basedOn w:val="DefaultParagraphFont"/>
    <w:uiPriority w:val="99"/>
    <w:semiHidden/>
    <w:unhideWhenUsed/>
    <w:rsid w:val="00196169"/>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3031567">
      <w:bodyDiv w:val="1"/>
      <w:marLeft w:val="0"/>
      <w:marRight w:val="0"/>
      <w:marTop w:val="0"/>
      <w:marBottom w:val="0"/>
      <w:divBdr>
        <w:top w:val="none" w:sz="0" w:space="0" w:color="auto"/>
        <w:left w:val="none" w:sz="0" w:space="0" w:color="auto"/>
        <w:bottom w:val="none" w:sz="0" w:space="0" w:color="auto"/>
        <w:right w:val="none" w:sz="0" w:space="0" w:color="auto"/>
      </w:divBdr>
      <w:divsChild>
        <w:div w:id="1566526924">
          <w:marLeft w:val="0"/>
          <w:marRight w:val="0"/>
          <w:marTop w:val="0"/>
          <w:marBottom w:val="0"/>
          <w:divBdr>
            <w:top w:val="none" w:sz="0" w:space="0" w:color="auto"/>
            <w:left w:val="none" w:sz="0" w:space="0" w:color="auto"/>
            <w:bottom w:val="none" w:sz="0" w:space="0" w:color="auto"/>
            <w:right w:val="none" w:sz="0" w:space="0" w:color="auto"/>
          </w:divBdr>
          <w:divsChild>
            <w:div w:id="1801914928">
              <w:marLeft w:val="0"/>
              <w:marRight w:val="0"/>
              <w:marTop w:val="0"/>
              <w:marBottom w:val="0"/>
              <w:divBdr>
                <w:top w:val="none" w:sz="0" w:space="0" w:color="auto"/>
                <w:left w:val="none" w:sz="0" w:space="0" w:color="auto"/>
                <w:bottom w:val="none" w:sz="0" w:space="0" w:color="auto"/>
                <w:right w:val="none" w:sz="0" w:space="0" w:color="auto"/>
              </w:divBdr>
            </w:div>
            <w:div w:id="1760371373">
              <w:marLeft w:val="0"/>
              <w:marRight w:val="0"/>
              <w:marTop w:val="0"/>
              <w:marBottom w:val="0"/>
              <w:divBdr>
                <w:top w:val="none" w:sz="0" w:space="0" w:color="auto"/>
                <w:left w:val="none" w:sz="0" w:space="0" w:color="auto"/>
                <w:bottom w:val="none" w:sz="0" w:space="0" w:color="auto"/>
                <w:right w:val="none" w:sz="0" w:space="0" w:color="auto"/>
              </w:divBdr>
            </w:div>
            <w:div w:id="1804611422">
              <w:marLeft w:val="0"/>
              <w:marRight w:val="0"/>
              <w:marTop w:val="0"/>
              <w:marBottom w:val="0"/>
              <w:divBdr>
                <w:top w:val="none" w:sz="0" w:space="0" w:color="auto"/>
                <w:left w:val="none" w:sz="0" w:space="0" w:color="auto"/>
                <w:bottom w:val="none" w:sz="0" w:space="0" w:color="auto"/>
                <w:right w:val="none" w:sz="0" w:space="0" w:color="auto"/>
              </w:divBdr>
            </w:div>
            <w:div w:id="1315064490">
              <w:marLeft w:val="0"/>
              <w:marRight w:val="0"/>
              <w:marTop w:val="0"/>
              <w:marBottom w:val="0"/>
              <w:divBdr>
                <w:top w:val="none" w:sz="0" w:space="0" w:color="auto"/>
                <w:left w:val="none" w:sz="0" w:space="0" w:color="auto"/>
                <w:bottom w:val="none" w:sz="0" w:space="0" w:color="auto"/>
                <w:right w:val="none" w:sz="0" w:space="0" w:color="auto"/>
              </w:divBdr>
            </w:div>
            <w:div w:id="2027318712">
              <w:marLeft w:val="0"/>
              <w:marRight w:val="0"/>
              <w:marTop w:val="0"/>
              <w:marBottom w:val="0"/>
              <w:divBdr>
                <w:top w:val="none" w:sz="0" w:space="0" w:color="auto"/>
                <w:left w:val="none" w:sz="0" w:space="0" w:color="auto"/>
                <w:bottom w:val="none" w:sz="0" w:space="0" w:color="auto"/>
                <w:right w:val="none" w:sz="0" w:space="0" w:color="auto"/>
              </w:divBdr>
            </w:div>
            <w:div w:id="1659115641">
              <w:marLeft w:val="0"/>
              <w:marRight w:val="0"/>
              <w:marTop w:val="0"/>
              <w:marBottom w:val="0"/>
              <w:divBdr>
                <w:top w:val="none" w:sz="0" w:space="0" w:color="auto"/>
                <w:left w:val="none" w:sz="0" w:space="0" w:color="auto"/>
                <w:bottom w:val="none" w:sz="0" w:space="0" w:color="auto"/>
                <w:right w:val="none" w:sz="0" w:space="0" w:color="auto"/>
              </w:divBdr>
            </w:div>
            <w:div w:id="1550191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sel.org/fundamentals-of-sel/" TargetMode="External"/><Relationship Id="rId13" Type="http://schemas.openxmlformats.org/officeDocument/2006/relationships/hyperlink" Target="https://vjol.info.vn/index.php/DHSPHN/article/view/57026/47923" TargetMode="External"/><Relationship Id="rId18" Type="http://schemas.openxmlformats.org/officeDocument/2006/relationships/hyperlink" Target="https://ejournal.uigm.ac.id/index.php/GE/article/view/4427"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journals.sagepub.com/doi/full/10.1177/23328584241281284" TargetMode="External"/><Relationship Id="rId12" Type="http://schemas.openxmlformats.org/officeDocument/2006/relationships/hyperlink" Target="https://doi.org/10.18173/2354-1067.2020-0075" TargetMode="External"/><Relationship Id="rId17" Type="http://schemas.openxmlformats.org/officeDocument/2006/relationships/hyperlink" Target="https://www.ceeol.com/search/article-detail?id=1193955" TargetMode="External"/><Relationship Id="rId2" Type="http://schemas.openxmlformats.org/officeDocument/2006/relationships/styles" Target="styles.xml"/><Relationship Id="rId16" Type="http://schemas.openxmlformats.org/officeDocument/2006/relationships/hyperlink" Target="https://www.ijfmr.com/research-paper.php?id=38788" TargetMode="External"/><Relationship Id="rId20" Type="http://schemas.openxmlformats.org/officeDocument/2006/relationships/hyperlink" Target="https://www.weforum.org/videos/future-of-jobs-valuable-skills/"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link.springer.com/article/10.1007/s10643-022-01324-3" TargetMode="External"/><Relationship Id="rId5" Type="http://schemas.openxmlformats.org/officeDocument/2006/relationships/hyperlink" Target="http://exploresel.gse.harvard.edu/frameworks/" TargetMode="External"/><Relationship Id="rId15" Type="http://schemas.openxmlformats.org/officeDocument/2006/relationships/hyperlink" Target="https://elibrary.kubg.edu.ua/id/eprint/50953/" TargetMode="External"/><Relationship Id="rId10" Type="http://schemas.openxmlformats.org/officeDocument/2006/relationships/hyperlink" Target="https://academic.oup.com/eltj/article-abstract/78/2/127/7382144" TargetMode="External"/><Relationship Id="rId19" Type="http://schemas.openxmlformats.org/officeDocument/2006/relationships/hyperlink" Target="https://doi.org/10.1080/02680939.2019.1672895" TargetMode="External"/><Relationship Id="rId4" Type="http://schemas.openxmlformats.org/officeDocument/2006/relationships/webSettings" Target="webSettings.xml"/><Relationship Id="rId9" Type="http://schemas.openxmlformats.org/officeDocument/2006/relationships/hyperlink" Target="https://www.mdpi.com/2254-9625/10/3/61" TargetMode="External"/><Relationship Id="rId14" Type="http://schemas.openxmlformats.org/officeDocument/2006/relationships/hyperlink" Target="https://psycnet.apa.org/buy/2020-74076-001"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57396A-F14E-4BA5-95AB-6DD7794C7B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1935</Words>
  <Characters>10257</Characters>
  <Application>Microsoft Office Word</Application>
  <DocSecurity>0</DocSecurity>
  <Lines>176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Jokha Al Hosni</dc:creator>
  <cp:lastModifiedBy>Hanna Kryszewska</cp:lastModifiedBy>
  <cp:revision>2</cp:revision>
  <dcterms:created xsi:type="dcterms:W3CDTF">2026-01-24T17:44:00Z</dcterms:created>
  <dcterms:modified xsi:type="dcterms:W3CDTF">2026-01-24T17:44:00Z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29e55de0-3f50-4bd7-b5b3-7624cd572837</vt:lpwstr>
  </property>
</Properties>
</file>