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5AFD77DC" w:rsidR="00F666A6" w:rsidRPr="009E249B" w:rsidRDefault="00BF2C65">
      <w:pPr>
        <w:pBdr>
          <w:top w:val="nil"/>
          <w:left w:val="nil"/>
          <w:bottom w:val="nil"/>
          <w:right w:val="nil"/>
          <w:between w:val="nil"/>
        </w:pBdr>
        <w:spacing w:line="312" w:lineRule="auto"/>
        <w:rPr>
          <w:rFonts w:eastAsia="Helvetica Neue"/>
          <w:b/>
          <w:bCs/>
          <w:color w:val="000000"/>
          <w:sz w:val="28"/>
          <w:szCs w:val="28"/>
        </w:rPr>
      </w:pPr>
      <w:bookmarkStart w:id="0" w:name="_Hlk165811396"/>
      <w:r w:rsidRPr="009E249B">
        <w:rPr>
          <w:rFonts w:eastAsia="Helvetica Neue"/>
          <w:b/>
          <w:bCs/>
          <w:color w:val="000000"/>
          <w:sz w:val="28"/>
          <w:szCs w:val="28"/>
        </w:rPr>
        <w:t xml:space="preserve">An </w:t>
      </w:r>
      <w:r w:rsidR="009E249B" w:rsidRPr="009E249B">
        <w:rPr>
          <w:rFonts w:eastAsia="Helvetica Neue"/>
          <w:b/>
          <w:bCs/>
          <w:color w:val="000000"/>
          <w:sz w:val="28"/>
          <w:szCs w:val="28"/>
        </w:rPr>
        <w:t>I</w:t>
      </w:r>
      <w:r w:rsidRPr="009E249B">
        <w:rPr>
          <w:rFonts w:eastAsia="Helvetica Neue"/>
          <w:b/>
          <w:bCs/>
          <w:color w:val="000000"/>
          <w:sz w:val="28"/>
          <w:szCs w:val="28"/>
        </w:rPr>
        <w:t xml:space="preserve">nclusive </w:t>
      </w:r>
      <w:r w:rsidR="009E249B" w:rsidRPr="009E249B">
        <w:rPr>
          <w:rFonts w:eastAsia="Helvetica Neue"/>
          <w:b/>
          <w:bCs/>
          <w:color w:val="000000"/>
          <w:sz w:val="28"/>
          <w:szCs w:val="28"/>
        </w:rPr>
        <w:t>A</w:t>
      </w:r>
      <w:r w:rsidRPr="009E249B">
        <w:rPr>
          <w:rFonts w:eastAsia="Helvetica Neue"/>
          <w:b/>
          <w:bCs/>
          <w:color w:val="000000"/>
          <w:sz w:val="28"/>
          <w:szCs w:val="28"/>
        </w:rPr>
        <w:t xml:space="preserve">pproach to </w:t>
      </w:r>
      <w:r w:rsidR="009E249B" w:rsidRPr="009E249B">
        <w:rPr>
          <w:rFonts w:eastAsia="Helvetica Neue"/>
          <w:b/>
          <w:bCs/>
          <w:color w:val="000000"/>
          <w:sz w:val="28"/>
          <w:szCs w:val="28"/>
        </w:rPr>
        <w:t>L</w:t>
      </w:r>
      <w:r w:rsidRPr="009E249B">
        <w:rPr>
          <w:rFonts w:eastAsia="Helvetica Neue"/>
          <w:b/>
          <w:bCs/>
          <w:color w:val="000000"/>
          <w:sz w:val="28"/>
          <w:szCs w:val="28"/>
        </w:rPr>
        <w:t xml:space="preserve">eadership for </w:t>
      </w:r>
      <w:r w:rsidR="009E249B" w:rsidRPr="009E249B">
        <w:rPr>
          <w:rFonts w:eastAsia="Helvetica Neue"/>
          <w:b/>
          <w:bCs/>
          <w:color w:val="000000"/>
          <w:sz w:val="28"/>
          <w:szCs w:val="28"/>
        </w:rPr>
        <w:t>T</w:t>
      </w:r>
      <w:r w:rsidRPr="009E249B">
        <w:rPr>
          <w:rFonts w:eastAsia="Helvetica Neue"/>
          <w:b/>
          <w:bCs/>
          <w:color w:val="000000"/>
          <w:sz w:val="28"/>
          <w:szCs w:val="28"/>
        </w:rPr>
        <w:t>eachers in ELT</w:t>
      </w:r>
    </w:p>
    <w:p w14:paraId="00000002" w14:textId="77777777" w:rsidR="00F666A6" w:rsidRPr="009E249B" w:rsidRDefault="00F666A6">
      <w:pPr>
        <w:pBdr>
          <w:top w:val="nil"/>
          <w:left w:val="nil"/>
          <w:bottom w:val="nil"/>
          <w:right w:val="nil"/>
          <w:between w:val="nil"/>
        </w:pBdr>
        <w:spacing w:line="312" w:lineRule="auto"/>
        <w:rPr>
          <w:rFonts w:eastAsia="Helvetica Neue"/>
          <w:b/>
          <w:bCs/>
          <w:color w:val="000000"/>
        </w:rPr>
      </w:pPr>
    </w:p>
    <w:p w14:paraId="00000003" w14:textId="03A51028" w:rsidR="00F666A6" w:rsidRPr="009E249B" w:rsidRDefault="00BF2C65">
      <w:pPr>
        <w:pBdr>
          <w:top w:val="nil"/>
          <w:left w:val="nil"/>
          <w:bottom w:val="nil"/>
          <w:right w:val="nil"/>
          <w:between w:val="nil"/>
        </w:pBdr>
        <w:spacing w:line="312" w:lineRule="auto"/>
        <w:rPr>
          <w:rFonts w:eastAsia="Helvetica Neue"/>
          <w:b/>
          <w:bCs/>
          <w:color w:val="000000"/>
        </w:rPr>
      </w:pPr>
      <w:r w:rsidRPr="009E249B">
        <w:rPr>
          <w:rFonts w:eastAsia="Helvetica Neue"/>
          <w:b/>
          <w:bCs/>
          <w:color w:val="000000"/>
        </w:rPr>
        <w:t>Mercedes Pérez Berbain</w:t>
      </w:r>
      <w:r w:rsidR="009E249B" w:rsidRPr="009E249B">
        <w:rPr>
          <w:rFonts w:eastAsia="Helvetica Neue"/>
          <w:b/>
          <w:bCs/>
          <w:color w:val="000000"/>
        </w:rPr>
        <w:t>, Argentina</w:t>
      </w:r>
    </w:p>
    <w:bookmarkEnd w:id="0"/>
    <w:p w14:paraId="7165693C" w14:textId="77777777" w:rsidR="009E249B" w:rsidRPr="009E249B" w:rsidRDefault="009E249B">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3A1FEC90" w14:textId="77777777" w:rsidR="009E249B" w:rsidRPr="00FF7B3A" w:rsidRDefault="009E249B" w:rsidP="009E249B">
      <w:pPr>
        <w:pBdr>
          <w:top w:val="nil"/>
          <w:left w:val="nil"/>
          <w:bottom w:val="nil"/>
          <w:right w:val="nil"/>
          <w:between w:val="nil"/>
        </w:pBdr>
        <w:spacing w:line="312" w:lineRule="auto"/>
        <w:rPr>
          <w:rFonts w:ascii="Helvetica Neue" w:eastAsia="Helvetica Neue" w:hAnsi="Helvetica Neue" w:cs="Helvetica Neue"/>
          <w:color w:val="000000"/>
          <w:sz w:val="22"/>
          <w:szCs w:val="22"/>
          <w:lang w:val="en-GB"/>
        </w:rPr>
      </w:pPr>
      <w:r w:rsidRPr="009E249B">
        <w:rPr>
          <w:rFonts w:ascii="Helvetica Neue" w:eastAsia="Helvetica Neue" w:hAnsi="Helvetica Neue" w:cs="Helvetica Neue"/>
          <w:color w:val="000000"/>
          <w:sz w:val="22"/>
          <w:szCs w:val="22"/>
          <w:lang w:val="en-GB"/>
        </w:rPr>
        <w:t>Mercedes Pérez Berbain</w:t>
      </w:r>
      <w:r w:rsidRPr="00FF7B3A">
        <w:rPr>
          <w:rFonts w:ascii="Helvetica Neue" w:eastAsia="Helvetica Neue" w:hAnsi="Helvetica Neue" w:cs="Helvetica Neue"/>
          <w:color w:val="000000"/>
          <w:sz w:val="22"/>
          <w:szCs w:val="22"/>
          <w:lang w:val="en-GB"/>
        </w:rPr>
        <w:t xml:space="preserve"> is an educational consultant and teacher educator at ESSARP, </w:t>
      </w:r>
      <w:proofErr w:type="spellStart"/>
      <w:r w:rsidRPr="00FF7B3A">
        <w:rPr>
          <w:rFonts w:ascii="Helvetica Neue" w:eastAsia="Helvetica Neue" w:hAnsi="Helvetica Neue" w:cs="Helvetica Neue"/>
          <w:color w:val="000000"/>
          <w:sz w:val="22"/>
          <w:szCs w:val="22"/>
          <w:lang w:val="en-GB"/>
        </w:rPr>
        <w:t>INFoD</w:t>
      </w:r>
      <w:proofErr w:type="spellEnd"/>
      <w:r w:rsidRPr="00FF7B3A">
        <w:rPr>
          <w:rFonts w:ascii="Helvetica Neue" w:eastAsia="Helvetica Neue" w:hAnsi="Helvetica Neue" w:cs="Helvetica Neue"/>
          <w:color w:val="000000"/>
          <w:sz w:val="22"/>
          <w:szCs w:val="22"/>
          <w:lang w:val="en-GB"/>
        </w:rPr>
        <w:t xml:space="preserve"> Argentina, and Pilgrims, UK. She holds an MA in Education with distinction from Oxford Brookes University, UK. She has written educational materials and courses for Pearson, Orient </w:t>
      </w:r>
      <w:proofErr w:type="spellStart"/>
      <w:r w:rsidRPr="00FF7B3A">
        <w:rPr>
          <w:rFonts w:ascii="Helvetica Neue" w:eastAsia="Helvetica Neue" w:hAnsi="Helvetica Neue" w:cs="Helvetica Neue"/>
          <w:color w:val="000000"/>
          <w:sz w:val="22"/>
          <w:szCs w:val="22"/>
          <w:lang w:val="en-GB"/>
        </w:rPr>
        <w:t>BlackSwa</w:t>
      </w:r>
      <w:r>
        <w:rPr>
          <w:rFonts w:ascii="Helvetica Neue" w:eastAsia="Helvetica Neue" w:hAnsi="Helvetica Neue" w:cs="Helvetica Neue"/>
          <w:color w:val="000000"/>
          <w:sz w:val="22"/>
          <w:szCs w:val="22"/>
          <w:lang w:val="en-GB"/>
        </w:rPr>
        <w:t>n</w:t>
      </w:r>
      <w:proofErr w:type="spellEnd"/>
      <w:r>
        <w:rPr>
          <w:rFonts w:ascii="Helvetica Neue" w:eastAsia="Helvetica Neue" w:hAnsi="Helvetica Neue" w:cs="Helvetica Neue"/>
          <w:color w:val="000000"/>
          <w:sz w:val="22"/>
          <w:szCs w:val="22"/>
          <w:lang w:val="en-GB"/>
        </w:rPr>
        <w:t xml:space="preserve"> and OUP, </w:t>
      </w:r>
      <w:r w:rsidRPr="00FF7B3A">
        <w:rPr>
          <w:rFonts w:ascii="Helvetica Neue" w:eastAsia="Helvetica Neue" w:hAnsi="Helvetica Neue" w:cs="Helvetica Neue"/>
          <w:color w:val="000000"/>
          <w:sz w:val="22"/>
          <w:szCs w:val="22"/>
          <w:lang w:val="en-GB"/>
        </w:rPr>
        <w:t>and has co-edited a volume on Diversity in ELT for Palgrave. She has also published and is a reviewer for several educational journals. Her research interests include teacher education, leadership, inclusion, and young learners.</w:t>
      </w:r>
    </w:p>
    <w:p w14:paraId="75C33175" w14:textId="77777777" w:rsidR="009E249B" w:rsidRDefault="009E249B" w:rsidP="009E249B">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 </w:t>
      </w:r>
    </w:p>
    <w:p w14:paraId="4AA422B4" w14:textId="77777777" w:rsidR="009E249B" w:rsidRDefault="009E249B">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3EE71ED8" w14:textId="2B7AFE68" w:rsidR="009E249B" w:rsidRDefault="009E249B" w:rsidP="009E249B">
      <w:pPr>
        <w:pStyle w:val="NormalWeb"/>
        <w:shd w:val="clear" w:color="auto" w:fill="FFFFFF"/>
        <w:spacing w:before="240" w:beforeAutospacing="0" w:after="240" w:afterAutospacing="0"/>
        <w:jc w:val="center"/>
        <w:rPr>
          <w:rFonts w:ascii="Open Sans" w:hAnsi="Open Sans" w:cs="Open Sans"/>
          <w:color w:val="353535"/>
          <w:spacing w:val="7"/>
        </w:rPr>
      </w:pPr>
      <w:r>
        <w:rPr>
          <w:rFonts w:ascii="Open Sans" w:hAnsi="Open Sans" w:cs="Open Sans"/>
          <w:noProof/>
          <w:color w:val="353535"/>
          <w:spacing w:val="7"/>
        </w:rPr>
        <w:drawing>
          <wp:inline distT="0" distB="0" distL="0" distR="0" wp14:anchorId="6B412637" wp14:editId="1A08B736">
            <wp:extent cx="2795738" cy="2700000"/>
            <wp:effectExtent l="0" t="0" r="5080" b="5715"/>
            <wp:docPr id="497772013"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72013" name="Picture 1" descr="A person smiling at the camera&#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5738" cy="2700000"/>
                    </a:xfrm>
                    <a:prstGeom prst="rect">
                      <a:avLst/>
                    </a:prstGeom>
                    <a:noFill/>
                    <a:ln>
                      <a:noFill/>
                    </a:ln>
                  </pic:spPr>
                </pic:pic>
              </a:graphicData>
            </a:graphic>
          </wp:inline>
        </w:drawing>
      </w:r>
    </w:p>
    <w:p w14:paraId="072E69BD" w14:textId="77777777" w:rsidR="009E249B" w:rsidRDefault="009E249B">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04" w14:textId="0825A38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05"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Abstract</w:t>
      </w:r>
    </w:p>
    <w:p w14:paraId="00000006"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07"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This article argues that with a </w:t>
      </w:r>
      <w:proofErr w:type="spellStart"/>
      <w:r>
        <w:rPr>
          <w:rFonts w:ascii="Helvetica Neue" w:eastAsia="Helvetica Neue" w:hAnsi="Helvetica Neue" w:cs="Helvetica Neue"/>
          <w:color w:val="000000"/>
          <w:sz w:val="22"/>
          <w:szCs w:val="22"/>
        </w:rPr>
        <w:t>leaderly</w:t>
      </w:r>
      <w:proofErr w:type="spellEnd"/>
      <w:r>
        <w:rPr>
          <w:rFonts w:ascii="Helvetica Neue" w:eastAsia="Helvetica Neue" w:hAnsi="Helvetica Neue" w:cs="Helvetica Neue"/>
          <w:color w:val="000000"/>
          <w:sz w:val="22"/>
          <w:szCs w:val="22"/>
        </w:rPr>
        <w:t xml:space="preserve"> and inclusive view of English language teaching </w:t>
      </w:r>
      <w:r>
        <w:rPr>
          <w:rFonts w:ascii="Helvetica Neue" w:eastAsia="Helvetica Neue" w:hAnsi="Helvetica Neue" w:cs="Helvetica Neue"/>
          <w:i/>
          <w:color w:val="000000"/>
          <w:sz w:val="22"/>
          <w:szCs w:val="22"/>
        </w:rPr>
        <w:t>all</w:t>
      </w:r>
      <w:r>
        <w:rPr>
          <w:rFonts w:ascii="Helvetica Neue" w:eastAsia="Helvetica Neue" w:hAnsi="Helvetica Neue" w:cs="Helvetica Neue"/>
          <w:color w:val="000000"/>
          <w:sz w:val="22"/>
          <w:szCs w:val="22"/>
        </w:rPr>
        <w:t xml:space="preserve"> learners can learn how to develop agency, value diversity, and expand their interactive competence in English. This approach may contribute to building more equitable and just societies.</w:t>
      </w:r>
    </w:p>
    <w:p w14:paraId="00000008"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09" w14:textId="7DE7CD6C"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Teaching English is a skill. As with many other skills, such as playing a musical instrument or painting, the practitioners of those skills need to be in-tune with their audience to be able to hone their skill. As an English language teacher, I had identified fear, disengagement, and opposition in my classes, as well as </w:t>
      </w:r>
      <w:r>
        <w:rPr>
          <w:rFonts w:ascii="Helvetica Neue" w:eastAsia="Helvetica Neue" w:hAnsi="Helvetica Neue" w:cs="Helvetica Neue"/>
          <w:sz w:val="22"/>
          <w:szCs w:val="22"/>
        </w:rPr>
        <w:t>disparity</w:t>
      </w:r>
      <w:r>
        <w:rPr>
          <w:rFonts w:ascii="Helvetica Neue" w:eastAsia="Helvetica Neue" w:hAnsi="Helvetica Neue" w:cs="Helvetica Neue"/>
          <w:color w:val="000000"/>
          <w:sz w:val="22"/>
          <w:szCs w:val="22"/>
        </w:rPr>
        <w:t xml:space="preserve">, insensitivity, and a need for recognition. With those quandaries in mind, I turned to the literature of leadership and inclusion in search of guidance. I selected and implemented leadership ideas such as setting a shared goal, building and nurturing relationships, designing structures, simplifying tasks </w:t>
      </w:r>
      <w:r>
        <w:rPr>
          <w:rFonts w:ascii="Helvetica Neue" w:eastAsia="Helvetica Neue" w:hAnsi="Helvetica Neue" w:cs="Helvetica Neue"/>
          <w:color w:val="000000"/>
          <w:sz w:val="22"/>
          <w:szCs w:val="22"/>
        </w:rPr>
        <w:lastRenderedPageBreak/>
        <w:t>(</w:t>
      </w:r>
      <w:proofErr w:type="spellStart"/>
      <w:r>
        <w:rPr>
          <w:rFonts w:ascii="Helvetica Neue" w:eastAsia="Helvetica Neue" w:hAnsi="Helvetica Neue" w:cs="Helvetica Neue"/>
          <w:color w:val="000000"/>
          <w:sz w:val="22"/>
          <w:szCs w:val="22"/>
        </w:rPr>
        <w:t>Leithwood</w:t>
      </w:r>
      <w:proofErr w:type="spellEnd"/>
      <w:r>
        <w:rPr>
          <w:rFonts w:ascii="Helvetica Neue" w:eastAsia="Helvetica Neue" w:hAnsi="Helvetica Neue" w:cs="Helvetica Neue"/>
          <w:color w:val="000000"/>
          <w:sz w:val="22"/>
          <w:szCs w:val="22"/>
        </w:rPr>
        <w:t xml:space="preserve"> et al., 2020; Kouzes &amp; Posner, 2012) and planning for </w:t>
      </w:r>
      <w:r>
        <w:rPr>
          <w:rFonts w:ascii="Helvetica Neue" w:eastAsia="Helvetica Neue" w:hAnsi="Helvetica Neue" w:cs="Helvetica Neue"/>
          <w:i/>
          <w:color w:val="000000"/>
          <w:sz w:val="22"/>
          <w:szCs w:val="22"/>
        </w:rPr>
        <w:t xml:space="preserve">all </w:t>
      </w:r>
      <w:r>
        <w:rPr>
          <w:rFonts w:ascii="Helvetica Neue" w:eastAsia="Helvetica Neue" w:hAnsi="Helvetica Neue" w:cs="Helvetica Neue"/>
          <w:color w:val="000000"/>
          <w:sz w:val="22"/>
          <w:szCs w:val="22"/>
        </w:rPr>
        <w:t xml:space="preserve">learners in my lessons (Black-Hawkins et al., 2021). Meanwhile, I explored the impact this inclusive and </w:t>
      </w:r>
      <w:proofErr w:type="spellStart"/>
      <w:r>
        <w:rPr>
          <w:rFonts w:ascii="Helvetica Neue" w:eastAsia="Helvetica Neue" w:hAnsi="Helvetica Neue" w:cs="Helvetica Neue"/>
          <w:color w:val="000000"/>
          <w:sz w:val="22"/>
          <w:szCs w:val="22"/>
        </w:rPr>
        <w:t>leaderly</w:t>
      </w:r>
      <w:proofErr w:type="spellEnd"/>
      <w:r>
        <w:rPr>
          <w:rFonts w:ascii="Helvetica Neue" w:eastAsia="Helvetica Neue" w:hAnsi="Helvetica Neue" w:cs="Helvetica Neue"/>
          <w:color w:val="000000"/>
          <w:sz w:val="22"/>
          <w:szCs w:val="22"/>
        </w:rPr>
        <w:t xml:space="preserve"> approach to teaching had on the learning of my nine-year-old learners by means of initial and final small group interviews. In this article I will first </w:t>
      </w:r>
      <w:proofErr w:type="spellStart"/>
      <w:r>
        <w:rPr>
          <w:rFonts w:ascii="Helvetica Neue" w:eastAsia="Helvetica Neue" w:hAnsi="Helvetica Neue" w:cs="Helvetica Neue"/>
          <w:color w:val="000000"/>
          <w:sz w:val="22"/>
          <w:szCs w:val="22"/>
        </w:rPr>
        <w:t>conceptualise</w:t>
      </w:r>
      <w:proofErr w:type="spellEnd"/>
      <w:r>
        <w:rPr>
          <w:rFonts w:ascii="Helvetica Neue" w:eastAsia="Helvetica Neue" w:hAnsi="Helvetica Neue" w:cs="Helvetica Neue"/>
          <w:color w:val="000000"/>
          <w:sz w:val="22"/>
          <w:szCs w:val="22"/>
        </w:rPr>
        <w:t xml:space="preserve"> leadership for teachers and an inclusive approach to English Language teaching (ELT), then I will mention a few strategies I used, and conclude with some of my learnings and the possible implications of employing a </w:t>
      </w:r>
      <w:proofErr w:type="spellStart"/>
      <w:r>
        <w:rPr>
          <w:rFonts w:ascii="Helvetica Neue" w:eastAsia="Helvetica Neue" w:hAnsi="Helvetica Neue" w:cs="Helvetica Neue"/>
          <w:color w:val="000000"/>
          <w:sz w:val="22"/>
          <w:szCs w:val="22"/>
        </w:rPr>
        <w:t>leaderly</w:t>
      </w:r>
      <w:proofErr w:type="spellEnd"/>
      <w:r>
        <w:rPr>
          <w:rFonts w:ascii="Helvetica Neue" w:eastAsia="Helvetica Neue" w:hAnsi="Helvetica Neue" w:cs="Helvetica Neue"/>
          <w:color w:val="000000"/>
          <w:sz w:val="22"/>
          <w:szCs w:val="22"/>
        </w:rPr>
        <w:t xml:space="preserve"> and inclusive approach in ELT. </w:t>
      </w:r>
    </w:p>
    <w:p w14:paraId="0000000A"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0B" w14:textId="77777777" w:rsidR="00F666A6" w:rsidRPr="009E249B" w:rsidRDefault="00BF2C65">
      <w:pPr>
        <w:pBdr>
          <w:top w:val="nil"/>
          <w:left w:val="nil"/>
          <w:bottom w:val="nil"/>
          <w:right w:val="nil"/>
          <w:between w:val="nil"/>
        </w:pBdr>
        <w:spacing w:line="312" w:lineRule="auto"/>
        <w:rPr>
          <w:rFonts w:ascii="Helvetica Neue" w:eastAsia="Helvetica Neue" w:hAnsi="Helvetica Neue" w:cs="Helvetica Neue"/>
          <w:b/>
          <w:bCs/>
          <w:color w:val="000000"/>
          <w:sz w:val="22"/>
          <w:szCs w:val="22"/>
        </w:rPr>
      </w:pPr>
      <w:r w:rsidRPr="009E249B">
        <w:rPr>
          <w:rFonts w:ascii="Helvetica Neue" w:eastAsia="Helvetica Neue" w:hAnsi="Helvetica Neue" w:cs="Helvetica Neue"/>
          <w:b/>
          <w:bCs/>
          <w:color w:val="000000"/>
          <w:sz w:val="22"/>
          <w:szCs w:val="22"/>
        </w:rPr>
        <w:t>Leadership for teachers</w:t>
      </w:r>
    </w:p>
    <w:p w14:paraId="0000000C"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0D"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sz w:val="22"/>
          <w:szCs w:val="22"/>
        </w:rPr>
        <w:t xml:space="preserve">Teachers are leaders of their classes. </w:t>
      </w:r>
      <w:r>
        <w:rPr>
          <w:rFonts w:ascii="Helvetica Neue" w:eastAsia="Helvetica Neue" w:hAnsi="Helvetica Neue" w:cs="Helvetica Neue"/>
          <w:color w:val="000000"/>
          <w:sz w:val="22"/>
          <w:szCs w:val="22"/>
        </w:rPr>
        <w:t xml:space="preserve">Leadership for teachers takes leadership ideas and </w:t>
      </w:r>
      <w:r>
        <w:rPr>
          <w:rFonts w:ascii="Helvetica Neue" w:eastAsia="Helvetica Neue" w:hAnsi="Helvetica Neue" w:cs="Helvetica Neue"/>
          <w:sz w:val="22"/>
          <w:szCs w:val="22"/>
        </w:rPr>
        <w:t xml:space="preserve">enacts them into the classroom (Lambert, 2003). Leadership </w:t>
      </w:r>
      <w:r>
        <w:rPr>
          <w:rFonts w:ascii="Helvetica Neue" w:eastAsia="Helvetica Neue" w:hAnsi="Helvetica Neue" w:cs="Helvetica Neue"/>
          <w:color w:val="000000"/>
          <w:sz w:val="22"/>
          <w:szCs w:val="22"/>
        </w:rPr>
        <w:t xml:space="preserve">is not about alluring students to participate in the lesson with strategies such as offering rewards. Leadership is a deep-seated </w:t>
      </w:r>
      <w:proofErr w:type="spellStart"/>
      <w:r>
        <w:rPr>
          <w:rFonts w:ascii="Helvetica Neue" w:eastAsia="Helvetica Neue" w:hAnsi="Helvetica Neue" w:cs="Helvetica Neue"/>
          <w:color w:val="000000"/>
          <w:sz w:val="22"/>
          <w:szCs w:val="22"/>
        </w:rPr>
        <w:t>endeavour</w:t>
      </w:r>
      <w:proofErr w:type="spellEnd"/>
      <w:r>
        <w:rPr>
          <w:rFonts w:ascii="Helvetica Neue" w:eastAsia="Helvetica Neue" w:hAnsi="Helvetica Neue" w:cs="Helvetica Neue"/>
          <w:color w:val="000000"/>
          <w:sz w:val="22"/>
          <w:szCs w:val="22"/>
        </w:rPr>
        <w:t xml:space="preserve"> which aims to discover what drives each person, what they want, how they feel, which their flairs are, how they build relationships, how they learn and achieve what they want (DePree, 2004, 2008; Groves et al., 2017; Kouzes &amp; Posner, 2012; Robinson, 2015). Leadership for teachers is also helping learners to be themselves, to be fulfilled individuals, and active, compassionate citizens (Robinson, 2018). </w:t>
      </w:r>
    </w:p>
    <w:p w14:paraId="0000000E" w14:textId="77777777" w:rsidR="00F666A6" w:rsidRDefault="00F666A6">
      <w:pPr>
        <w:pBdr>
          <w:top w:val="nil"/>
          <w:left w:val="nil"/>
          <w:bottom w:val="nil"/>
          <w:right w:val="nil"/>
          <w:between w:val="nil"/>
        </w:pBdr>
        <w:spacing w:line="312" w:lineRule="auto"/>
        <w:rPr>
          <w:rFonts w:ascii="Helvetica Neue" w:eastAsia="Helvetica Neue" w:hAnsi="Helvetica Neue" w:cs="Helvetica Neue"/>
          <w:sz w:val="22"/>
          <w:szCs w:val="22"/>
        </w:rPr>
      </w:pPr>
    </w:p>
    <w:p w14:paraId="0000000F" w14:textId="77777777" w:rsidR="00F666A6" w:rsidRPr="009E249B" w:rsidRDefault="00BF2C65">
      <w:pPr>
        <w:pBdr>
          <w:top w:val="nil"/>
          <w:left w:val="nil"/>
          <w:bottom w:val="nil"/>
          <w:right w:val="nil"/>
          <w:between w:val="nil"/>
        </w:pBdr>
        <w:spacing w:line="312" w:lineRule="auto"/>
        <w:rPr>
          <w:rFonts w:ascii="Helvetica Neue" w:eastAsia="Helvetica Neue" w:hAnsi="Helvetica Neue" w:cs="Helvetica Neue"/>
          <w:b/>
          <w:bCs/>
          <w:sz w:val="22"/>
          <w:szCs w:val="22"/>
        </w:rPr>
      </w:pPr>
      <w:r w:rsidRPr="009E249B">
        <w:rPr>
          <w:rFonts w:ascii="Helvetica Neue" w:eastAsia="Helvetica Neue" w:hAnsi="Helvetica Neue" w:cs="Helvetica Neue"/>
          <w:b/>
          <w:bCs/>
          <w:sz w:val="22"/>
          <w:szCs w:val="22"/>
        </w:rPr>
        <w:t>Leadership for teachers and teacher leadership</w:t>
      </w:r>
    </w:p>
    <w:p w14:paraId="00000010" w14:textId="77777777" w:rsidR="00F666A6" w:rsidRDefault="00F666A6">
      <w:pPr>
        <w:pBdr>
          <w:top w:val="nil"/>
          <w:left w:val="nil"/>
          <w:bottom w:val="nil"/>
          <w:right w:val="nil"/>
          <w:between w:val="nil"/>
        </w:pBdr>
        <w:spacing w:line="312" w:lineRule="auto"/>
        <w:rPr>
          <w:rFonts w:ascii="Helvetica Neue" w:eastAsia="Helvetica Neue" w:hAnsi="Helvetica Neue" w:cs="Helvetica Neue"/>
          <w:sz w:val="22"/>
          <w:szCs w:val="22"/>
        </w:rPr>
      </w:pPr>
    </w:p>
    <w:p w14:paraId="00000011"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sz w:val="22"/>
          <w:szCs w:val="22"/>
        </w:rPr>
        <w:t>At first sight ‘leadership for teachers’ and ‘teacher leadership’ may seem to refer to the same. They do not. As stated above ‘leadership for teachers’ refers to how teachers lead their own learners in class whereas ‘</w:t>
      </w:r>
      <w:r>
        <w:rPr>
          <w:rFonts w:ascii="Helvetica Neue" w:eastAsia="Helvetica Neue" w:hAnsi="Helvetica Neue" w:cs="Helvetica Neue"/>
          <w:color w:val="000000"/>
          <w:sz w:val="22"/>
          <w:szCs w:val="22"/>
        </w:rPr>
        <w:t>teacher leadership</w:t>
      </w:r>
      <w:r>
        <w:rPr>
          <w:rFonts w:ascii="Helvetica Neue" w:eastAsia="Helvetica Neue" w:hAnsi="Helvetica Neue" w:cs="Helvetica Neue"/>
          <w:sz w:val="22"/>
          <w:szCs w:val="22"/>
        </w:rPr>
        <w:t>’</w:t>
      </w:r>
      <w:r>
        <w:rPr>
          <w:rFonts w:ascii="Helvetica Neue" w:eastAsia="Helvetica Neue" w:hAnsi="Helvetica Neue" w:cs="Helvetica Neue"/>
          <w:color w:val="000000"/>
          <w:sz w:val="22"/>
          <w:szCs w:val="22"/>
        </w:rPr>
        <w:t xml:space="preserve"> refers to the influence classroom-based teachers have on the larger school community rather than on the class they are teaching (York-Barr &amp; Duke, 2004; Schott, et al. 2020; Webber &amp; Andrews, 2023). Although teacher leadership may also be desirable, leadership for teachers i.e. teachers reaching out to all learners in their classrooms helping them to rise to challenges they meet, constitutes a real “step up” (Conway, 2023 p. ii)</w:t>
      </w:r>
      <w:r>
        <w:rPr>
          <w:rFonts w:ascii="Helvetica Neue" w:eastAsia="Helvetica Neue" w:hAnsi="Helvetica Neue" w:cs="Helvetica Neue"/>
          <w:sz w:val="22"/>
          <w:szCs w:val="22"/>
        </w:rPr>
        <w:t xml:space="preserve">. </w:t>
      </w:r>
      <w:r>
        <w:rPr>
          <w:rFonts w:ascii="Helvetica Neue" w:eastAsia="Helvetica Neue" w:hAnsi="Helvetica Neue" w:cs="Helvetica Neue"/>
          <w:color w:val="000000"/>
          <w:sz w:val="22"/>
          <w:szCs w:val="22"/>
        </w:rPr>
        <w:t xml:space="preserve">At the heart of effective leadership for teachers is enabling </w:t>
      </w:r>
      <w:r>
        <w:rPr>
          <w:rFonts w:ascii="Helvetica Neue" w:eastAsia="Helvetica Neue" w:hAnsi="Helvetica Neue" w:cs="Helvetica Neue"/>
          <w:i/>
          <w:color w:val="000000"/>
          <w:sz w:val="22"/>
          <w:szCs w:val="22"/>
        </w:rPr>
        <w:t>all</w:t>
      </w:r>
      <w:r>
        <w:rPr>
          <w:rFonts w:ascii="Helvetica Neue" w:eastAsia="Helvetica Neue" w:hAnsi="Helvetica Neue" w:cs="Helvetica Neue"/>
          <w:color w:val="000000"/>
          <w:sz w:val="22"/>
          <w:szCs w:val="22"/>
        </w:rPr>
        <w:t xml:space="preserve"> learners to </w:t>
      </w:r>
      <w:r>
        <w:rPr>
          <w:rFonts w:ascii="Helvetica Neue" w:eastAsia="Helvetica Neue" w:hAnsi="Helvetica Neue" w:cs="Helvetica Neue"/>
          <w:sz w:val="22"/>
          <w:szCs w:val="22"/>
        </w:rPr>
        <w:t xml:space="preserve">learn, </w:t>
      </w:r>
      <w:proofErr w:type="spellStart"/>
      <w:r>
        <w:rPr>
          <w:rFonts w:ascii="Helvetica Neue" w:eastAsia="Helvetica Neue" w:hAnsi="Helvetica Neue" w:cs="Helvetica Neue"/>
          <w:sz w:val="22"/>
          <w:szCs w:val="22"/>
        </w:rPr>
        <w:t>honouring</w:t>
      </w:r>
      <w:proofErr w:type="spellEnd"/>
      <w:r>
        <w:rPr>
          <w:rFonts w:ascii="Helvetica Neue" w:eastAsia="Helvetica Neue" w:hAnsi="Helvetica Neue" w:cs="Helvetica Neue"/>
          <w:color w:val="000000"/>
          <w:sz w:val="22"/>
          <w:szCs w:val="22"/>
        </w:rPr>
        <w:t xml:space="preserve"> their human diversity. </w:t>
      </w:r>
    </w:p>
    <w:p w14:paraId="65F8273D" w14:textId="77777777" w:rsidR="00864F17" w:rsidRDefault="00864F17">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E11661C" w14:textId="40C0A956" w:rsidR="003D6DAF" w:rsidRDefault="00864F17" w:rsidP="00864F17">
      <w:pPr>
        <w:pBdr>
          <w:top w:val="nil"/>
          <w:left w:val="nil"/>
          <w:bottom w:val="nil"/>
          <w:right w:val="nil"/>
          <w:between w:val="nil"/>
        </w:pBdr>
        <w:spacing w:line="312" w:lineRule="auto"/>
        <w:jc w:val="center"/>
        <w:rPr>
          <w:rFonts w:ascii="Helvetica Neue" w:eastAsia="Helvetica Neue" w:hAnsi="Helvetica Neue" w:cs="Helvetica Neue"/>
          <w:color w:val="000000"/>
          <w:sz w:val="22"/>
          <w:szCs w:val="22"/>
        </w:rPr>
      </w:pPr>
      <w:r>
        <w:rPr>
          <w:rFonts w:ascii="Helvetica Neue" w:eastAsia="Helvetica Neue" w:hAnsi="Helvetica Neue" w:cs="Helvetica Neue"/>
          <w:noProof/>
          <w:color w:val="000000"/>
          <w:sz w:val="22"/>
          <w:szCs w:val="22"/>
          <w:lang w:val="en-GB" w:eastAsia="en-GB"/>
        </w:rPr>
        <w:drawing>
          <wp:inline distT="0" distB="0" distL="0" distR="0" wp14:anchorId="3A2D20E2" wp14:editId="6909A7E6">
            <wp:extent cx="2122986" cy="2123678"/>
            <wp:effectExtent l="0" t="0" r="10795" b="10160"/>
            <wp:docPr id="2" name="Picture 2" descr="children%20interact%20in%20Englis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20interact%20in%20English.jpe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2962"/>
                    <a:stretch/>
                  </pic:blipFill>
                  <pic:spPr bwMode="auto">
                    <a:xfrm>
                      <a:off x="0" y="0"/>
                      <a:ext cx="2148228" cy="2148928"/>
                    </a:xfrm>
                    <a:prstGeom prst="rect">
                      <a:avLst/>
                    </a:prstGeom>
                    <a:noFill/>
                    <a:ln>
                      <a:noFill/>
                    </a:ln>
                    <a:extLst>
                      <a:ext uri="{53640926-AAD7-44D8-BBD7-CCE9431645EC}">
                        <a14:shadowObscured xmlns:a14="http://schemas.microsoft.com/office/drawing/2010/main"/>
                      </a:ext>
                    </a:extLst>
                  </pic:spPr>
                </pic:pic>
              </a:graphicData>
            </a:graphic>
          </wp:inline>
        </w:drawing>
      </w:r>
    </w:p>
    <w:p w14:paraId="00000012" w14:textId="678149C6" w:rsidR="00F666A6" w:rsidRDefault="00864F17" w:rsidP="00B81D13">
      <w:pPr>
        <w:pBdr>
          <w:top w:val="nil"/>
          <w:left w:val="nil"/>
          <w:bottom w:val="nil"/>
          <w:right w:val="nil"/>
          <w:between w:val="nil"/>
        </w:pBdr>
        <w:spacing w:line="312" w:lineRule="auto"/>
        <w:jc w:val="cente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Year 4 children</w:t>
      </w:r>
      <w:r w:rsidR="00B81D13">
        <w:rPr>
          <w:rFonts w:ascii="Helvetica Neue" w:eastAsia="Helvetica Neue" w:hAnsi="Helvetica Neue" w:cs="Helvetica Neue"/>
          <w:color w:val="000000"/>
          <w:sz w:val="22"/>
          <w:szCs w:val="22"/>
        </w:rPr>
        <w:t xml:space="preserve"> </w:t>
      </w:r>
      <w:r>
        <w:rPr>
          <w:rFonts w:ascii="Helvetica Neue" w:eastAsia="Helvetica Neue" w:hAnsi="Helvetica Neue" w:cs="Helvetica Neue"/>
          <w:color w:val="000000"/>
          <w:sz w:val="22"/>
          <w:szCs w:val="22"/>
        </w:rPr>
        <w:t xml:space="preserve">interacting </w:t>
      </w:r>
      <w:r w:rsidR="00B81D13">
        <w:rPr>
          <w:rFonts w:ascii="Helvetica Neue" w:eastAsia="Helvetica Neue" w:hAnsi="Helvetica Neue" w:cs="Helvetica Neue"/>
          <w:color w:val="000000"/>
          <w:sz w:val="22"/>
          <w:szCs w:val="22"/>
        </w:rPr>
        <w:t>in English</w:t>
      </w:r>
    </w:p>
    <w:p w14:paraId="448804CE" w14:textId="77777777" w:rsidR="00B81D13" w:rsidRDefault="00B81D13">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13" w14:textId="77777777" w:rsidR="00F666A6" w:rsidRPr="009E249B" w:rsidRDefault="00BF2C65">
      <w:pPr>
        <w:pBdr>
          <w:top w:val="nil"/>
          <w:left w:val="nil"/>
          <w:bottom w:val="nil"/>
          <w:right w:val="nil"/>
          <w:between w:val="nil"/>
        </w:pBdr>
        <w:spacing w:line="312" w:lineRule="auto"/>
        <w:rPr>
          <w:rFonts w:ascii="Helvetica Neue" w:eastAsia="Helvetica Neue" w:hAnsi="Helvetica Neue" w:cs="Helvetica Neue"/>
          <w:b/>
          <w:bCs/>
          <w:color w:val="000000"/>
          <w:sz w:val="22"/>
          <w:szCs w:val="22"/>
        </w:rPr>
      </w:pPr>
      <w:r w:rsidRPr="009E249B">
        <w:rPr>
          <w:rFonts w:ascii="Helvetica Neue" w:eastAsia="Helvetica Neue" w:hAnsi="Helvetica Neue" w:cs="Helvetica Neue"/>
          <w:b/>
          <w:bCs/>
          <w:color w:val="000000"/>
          <w:sz w:val="22"/>
          <w:szCs w:val="22"/>
        </w:rPr>
        <w:t xml:space="preserve">An inclusive approach </w:t>
      </w:r>
      <w:r w:rsidRPr="009E249B">
        <w:rPr>
          <w:rFonts w:ascii="Helvetica Neue" w:eastAsia="Helvetica Neue" w:hAnsi="Helvetica Neue" w:cs="Helvetica Neue"/>
          <w:b/>
          <w:bCs/>
          <w:sz w:val="22"/>
          <w:szCs w:val="22"/>
        </w:rPr>
        <w:t>to leadership for teachers</w:t>
      </w:r>
    </w:p>
    <w:p w14:paraId="00000014"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15"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proofErr w:type="spellStart"/>
      <w:r>
        <w:rPr>
          <w:rFonts w:ascii="Helvetica Neue" w:eastAsia="Helvetica Neue" w:hAnsi="Helvetica Neue" w:cs="Helvetica Neue"/>
          <w:color w:val="000000"/>
          <w:sz w:val="22"/>
          <w:szCs w:val="22"/>
        </w:rPr>
        <w:t>Leaderly</w:t>
      </w:r>
      <w:proofErr w:type="spellEnd"/>
      <w:r>
        <w:rPr>
          <w:rFonts w:ascii="Helvetica Neue" w:eastAsia="Helvetica Neue" w:hAnsi="Helvetica Neue" w:cs="Helvetica Neue"/>
          <w:color w:val="000000"/>
          <w:sz w:val="22"/>
          <w:szCs w:val="22"/>
        </w:rPr>
        <w:t xml:space="preserve"> teaching can hardly be called effective unless </w:t>
      </w:r>
      <w:r>
        <w:rPr>
          <w:rFonts w:ascii="Helvetica Neue" w:eastAsia="Helvetica Neue" w:hAnsi="Helvetica Neue" w:cs="Helvetica Neue"/>
          <w:i/>
          <w:color w:val="000000"/>
          <w:sz w:val="22"/>
          <w:szCs w:val="22"/>
        </w:rPr>
        <w:t xml:space="preserve">all </w:t>
      </w:r>
      <w:r>
        <w:rPr>
          <w:rFonts w:ascii="Helvetica Neue" w:eastAsia="Helvetica Neue" w:hAnsi="Helvetica Neue" w:cs="Helvetica Neue"/>
          <w:color w:val="000000"/>
          <w:sz w:val="22"/>
          <w:szCs w:val="22"/>
        </w:rPr>
        <w:t xml:space="preserve">learners are on board, unless there is equity. No teaching can be called effective unless it is inclusive. Inclusion entails viewing the education of all learners as having equal importance (Stadler-Heer, 2019) regardless of race, ethnicity, age, gender, sexual orientation, ability, religion, socio-economic background and any other aspect which may cause segregation. Inclusion as a principle runs through policies, curriculums, teaching, </w:t>
      </w:r>
      <w:proofErr w:type="spellStart"/>
      <w:r>
        <w:rPr>
          <w:rFonts w:ascii="Helvetica Neue" w:eastAsia="Helvetica Neue" w:hAnsi="Helvetica Neue" w:cs="Helvetica Neue"/>
          <w:color w:val="000000"/>
          <w:sz w:val="22"/>
          <w:szCs w:val="22"/>
        </w:rPr>
        <w:t>organisation</w:t>
      </w:r>
      <w:proofErr w:type="spellEnd"/>
      <w:r>
        <w:rPr>
          <w:rFonts w:ascii="Helvetica Neue" w:eastAsia="Helvetica Neue" w:hAnsi="Helvetica Neue" w:cs="Helvetica Neue"/>
          <w:color w:val="000000"/>
          <w:sz w:val="22"/>
          <w:szCs w:val="22"/>
        </w:rPr>
        <w:t xml:space="preserve">, resources and assessment (Ainscow, 2020; UNESCO, 2017). Therefore, an inclusive approach to leadership for teachers in ELT begins with </w:t>
      </w:r>
      <w:proofErr w:type="spellStart"/>
      <w:r>
        <w:rPr>
          <w:rFonts w:ascii="Helvetica Neue" w:eastAsia="Helvetica Neue" w:hAnsi="Helvetica Neue" w:cs="Helvetica Neue"/>
          <w:color w:val="000000"/>
          <w:sz w:val="22"/>
          <w:szCs w:val="22"/>
        </w:rPr>
        <w:t>recognising</w:t>
      </w:r>
      <w:proofErr w:type="spellEnd"/>
      <w:r>
        <w:rPr>
          <w:rFonts w:ascii="Helvetica Neue" w:eastAsia="Helvetica Neue" w:hAnsi="Helvetica Neue" w:cs="Helvetica Neue"/>
          <w:color w:val="000000"/>
          <w:sz w:val="22"/>
          <w:szCs w:val="22"/>
        </w:rPr>
        <w:t xml:space="preserve"> uniqueness in every learner. It involves creating a classroom environment where every student develops agency, feels valued and empowered to welcome the challenge of learning to interact in English, for instance. Inclusive leadership often requires teacher intervention when there is oppression (Banegas et al., 2021), as well as listening empathically to help learners to express themselves. Moreover, there is inclusion when teachers think of tasks for </w:t>
      </w:r>
      <w:r>
        <w:rPr>
          <w:rFonts w:ascii="Helvetica Neue" w:eastAsia="Helvetica Neue" w:hAnsi="Helvetica Neue" w:cs="Helvetica Neue"/>
          <w:i/>
          <w:color w:val="000000"/>
          <w:sz w:val="22"/>
          <w:szCs w:val="22"/>
        </w:rPr>
        <w:t xml:space="preserve">all </w:t>
      </w:r>
      <w:r>
        <w:rPr>
          <w:rFonts w:ascii="Helvetica Neue" w:eastAsia="Helvetica Neue" w:hAnsi="Helvetica Neue" w:cs="Helvetica Neue"/>
          <w:color w:val="000000"/>
          <w:sz w:val="22"/>
          <w:szCs w:val="22"/>
        </w:rPr>
        <w:t xml:space="preserve">children rather than for most children and then find adapted or extra tasks for the rest (Black-Hawkins et al., 2021). As a result of an inclusive approach to ELT, all children learn how to work collaboratively (OECD, 2017). Children value their peers’ viewpoints and learn to distinguish peer collaboration from friendship. Most importantly, children learn to help others and live side by side with people who may see things in a different way. </w:t>
      </w:r>
    </w:p>
    <w:p w14:paraId="312D2D33" w14:textId="77777777" w:rsidR="00B81D13" w:rsidRDefault="00B81D13">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7C064817" w14:textId="77777777" w:rsidR="00864F17" w:rsidRDefault="00864F17">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16" w14:textId="431EE9C9" w:rsidR="00F666A6" w:rsidRDefault="00864F17" w:rsidP="00864F17">
      <w:pPr>
        <w:pBdr>
          <w:top w:val="nil"/>
          <w:left w:val="nil"/>
          <w:bottom w:val="nil"/>
          <w:right w:val="nil"/>
          <w:between w:val="nil"/>
        </w:pBdr>
        <w:spacing w:line="312" w:lineRule="auto"/>
        <w:jc w:val="center"/>
        <w:rPr>
          <w:rFonts w:ascii="Helvetica Neue" w:eastAsia="Helvetica Neue" w:hAnsi="Helvetica Neue" w:cs="Helvetica Neue"/>
          <w:color w:val="000000"/>
          <w:sz w:val="22"/>
          <w:szCs w:val="22"/>
        </w:rPr>
      </w:pPr>
      <w:r>
        <w:rPr>
          <w:rFonts w:ascii="Helvetica Neue" w:eastAsia="Helvetica Neue" w:hAnsi="Helvetica Neue" w:cs="Helvetica Neue"/>
          <w:noProof/>
          <w:color w:val="000000"/>
          <w:sz w:val="22"/>
          <w:szCs w:val="22"/>
          <w:lang w:val="en-GB" w:eastAsia="en-GB"/>
        </w:rPr>
        <w:drawing>
          <wp:inline distT="0" distB="0" distL="0" distR="0" wp14:anchorId="1E156694" wp14:editId="1D1F48D0">
            <wp:extent cx="2504820" cy="2880000"/>
            <wp:effectExtent l="0" t="0" r="0" b="0"/>
            <wp:docPr id="3" name="Picture 3" descr="individual%20atten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vidual%20attentio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4820" cy="2880000"/>
                    </a:xfrm>
                    <a:prstGeom prst="rect">
                      <a:avLst/>
                    </a:prstGeom>
                    <a:noFill/>
                    <a:ln>
                      <a:noFill/>
                    </a:ln>
                  </pic:spPr>
                </pic:pic>
              </a:graphicData>
            </a:graphic>
          </wp:inline>
        </w:drawing>
      </w:r>
    </w:p>
    <w:p w14:paraId="14904249" w14:textId="526CE405" w:rsidR="00864F17" w:rsidRDefault="00864F17" w:rsidP="00864F17">
      <w:pPr>
        <w:pBdr>
          <w:top w:val="nil"/>
          <w:left w:val="nil"/>
          <w:bottom w:val="nil"/>
          <w:right w:val="nil"/>
          <w:between w:val="nil"/>
        </w:pBdr>
        <w:spacing w:line="312" w:lineRule="auto"/>
        <w:jc w:val="cente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A child getting undivided attention</w:t>
      </w:r>
    </w:p>
    <w:p w14:paraId="7D4BAF60" w14:textId="77777777" w:rsidR="00864F17" w:rsidRDefault="00864F17">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17" w14:textId="77777777" w:rsidR="00F666A6" w:rsidRPr="009E249B" w:rsidRDefault="00BF2C65">
      <w:pPr>
        <w:pBdr>
          <w:top w:val="nil"/>
          <w:left w:val="nil"/>
          <w:bottom w:val="nil"/>
          <w:right w:val="nil"/>
          <w:between w:val="nil"/>
        </w:pBdr>
        <w:spacing w:line="312" w:lineRule="auto"/>
        <w:rPr>
          <w:rFonts w:ascii="Helvetica Neue" w:eastAsia="Helvetica Neue" w:hAnsi="Helvetica Neue" w:cs="Helvetica Neue"/>
          <w:b/>
          <w:bCs/>
          <w:color w:val="000000"/>
          <w:sz w:val="22"/>
          <w:szCs w:val="22"/>
        </w:rPr>
      </w:pPr>
      <w:r w:rsidRPr="009E249B">
        <w:rPr>
          <w:rFonts w:ascii="Helvetica Neue" w:eastAsia="Helvetica Neue" w:hAnsi="Helvetica Neue" w:cs="Helvetica Neue"/>
          <w:b/>
          <w:bCs/>
          <w:color w:val="000000"/>
          <w:sz w:val="22"/>
          <w:szCs w:val="22"/>
        </w:rPr>
        <w:t xml:space="preserve">A </w:t>
      </w:r>
      <w:proofErr w:type="spellStart"/>
      <w:r w:rsidRPr="009E249B">
        <w:rPr>
          <w:rFonts w:ascii="Helvetica Neue" w:eastAsia="Helvetica Neue" w:hAnsi="Helvetica Neue" w:cs="Helvetica Neue"/>
          <w:b/>
          <w:bCs/>
          <w:color w:val="000000"/>
          <w:sz w:val="22"/>
          <w:szCs w:val="22"/>
        </w:rPr>
        <w:t>leaderly</w:t>
      </w:r>
      <w:proofErr w:type="spellEnd"/>
      <w:r w:rsidRPr="009E249B">
        <w:rPr>
          <w:rFonts w:ascii="Helvetica Neue" w:eastAsia="Helvetica Neue" w:hAnsi="Helvetica Neue" w:cs="Helvetica Neue"/>
          <w:b/>
          <w:bCs/>
          <w:color w:val="000000"/>
          <w:sz w:val="22"/>
          <w:szCs w:val="22"/>
        </w:rPr>
        <w:t xml:space="preserve"> and inclusive ELT approach in action</w:t>
      </w:r>
    </w:p>
    <w:p w14:paraId="00000018"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19"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lastRenderedPageBreak/>
        <w:t xml:space="preserve">My starting point to have </w:t>
      </w:r>
      <w:r>
        <w:rPr>
          <w:rFonts w:ascii="Helvetica Neue" w:eastAsia="Helvetica Neue" w:hAnsi="Helvetica Neue" w:cs="Helvetica Neue"/>
          <w:sz w:val="22"/>
          <w:szCs w:val="22"/>
        </w:rPr>
        <w:t>every</w:t>
      </w:r>
      <w:r>
        <w:rPr>
          <w:rFonts w:ascii="Helvetica Neue" w:eastAsia="Helvetica Neue" w:hAnsi="Helvetica Neue" w:cs="Helvetica Neue"/>
          <w:color w:val="000000"/>
          <w:sz w:val="22"/>
          <w:szCs w:val="22"/>
        </w:rPr>
        <w:t xml:space="preserve"> learner on board in my class was finding a yearly goal which would challenge all learners equally. In this case it was “interacting in English”, understood by children as “having any idea and saying it in English”. This may sound </w:t>
      </w:r>
      <w:r>
        <w:rPr>
          <w:rFonts w:ascii="Helvetica Neue" w:eastAsia="Helvetica Neue" w:hAnsi="Helvetica Neue" w:cs="Helvetica Neue"/>
          <w:sz w:val="22"/>
          <w:szCs w:val="22"/>
        </w:rPr>
        <w:t>self-evident</w:t>
      </w:r>
      <w:r>
        <w:rPr>
          <w:rFonts w:ascii="Helvetica Neue" w:eastAsia="Helvetica Neue" w:hAnsi="Helvetica Neue" w:cs="Helvetica Neue"/>
          <w:color w:val="000000"/>
          <w:sz w:val="22"/>
          <w:szCs w:val="22"/>
        </w:rPr>
        <w:t xml:space="preserve"> in an ELT lesson but in my experience few children have explicitly heard and bought into </w:t>
      </w:r>
      <w:r>
        <w:rPr>
          <w:rFonts w:ascii="Helvetica Neue" w:eastAsia="Helvetica Neue" w:hAnsi="Helvetica Neue" w:cs="Helvetica Neue"/>
          <w:sz w:val="22"/>
          <w:szCs w:val="22"/>
        </w:rPr>
        <w:t xml:space="preserve">the </w:t>
      </w:r>
      <w:r>
        <w:rPr>
          <w:rFonts w:ascii="Helvetica Neue" w:eastAsia="Helvetica Neue" w:hAnsi="Helvetica Neue" w:cs="Helvetica Neue"/>
          <w:color w:val="000000"/>
          <w:sz w:val="22"/>
          <w:szCs w:val="22"/>
        </w:rPr>
        <w:t xml:space="preserve">goal of interacting in English. Although there is truth in welcoming learners’ other languages, children often need a clear purpose if they are to commit to it and rise to the challenge of mastering a skill such as interaction (CEFR, 2020). </w:t>
      </w:r>
    </w:p>
    <w:p w14:paraId="0000001A"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1B"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One strategy I used was varying the criteria to group learners for every task to offer diverse opportunities to collaborate. It was helpful to group learners from different ages (if we worked with other classes), degrees of linguistic competence, learning styles, backgrounds, values, likes, and so on. There were also other times when I grouped learners who were similar in some respects as well for a change. I kept trying out different groupings and observing how learners worked. The names of the group members were previously written on a small piece of paper. This prevented children from going through the awkward moment of finding the right group to work with. Moreover, children mentioned this constant change of </w:t>
      </w:r>
      <w:r>
        <w:rPr>
          <w:rFonts w:ascii="Helvetica Neue" w:eastAsia="Helvetica Neue" w:hAnsi="Helvetica Neue" w:cs="Helvetica Neue"/>
          <w:sz w:val="22"/>
          <w:szCs w:val="22"/>
        </w:rPr>
        <w:t>previously</w:t>
      </w:r>
      <w:r>
        <w:rPr>
          <w:rFonts w:ascii="Helvetica Neue" w:eastAsia="Helvetica Neue" w:hAnsi="Helvetica Neue" w:cs="Helvetica Neue"/>
          <w:color w:val="000000"/>
          <w:sz w:val="22"/>
          <w:szCs w:val="22"/>
        </w:rPr>
        <w:t xml:space="preserve"> arranged groups as beneficial. Indeed, they learnt how to be more inclusive by having to work with different </w:t>
      </w:r>
      <w:proofErr w:type="gramStart"/>
      <w:r>
        <w:rPr>
          <w:rFonts w:ascii="Helvetica Neue" w:eastAsia="Helvetica Neue" w:hAnsi="Helvetica Neue" w:cs="Helvetica Neue"/>
          <w:color w:val="000000"/>
          <w:sz w:val="22"/>
          <w:szCs w:val="22"/>
        </w:rPr>
        <w:t>peers</w:t>
      </w:r>
      <w:proofErr w:type="gramEnd"/>
      <w:r>
        <w:rPr>
          <w:rFonts w:ascii="Helvetica Neue" w:eastAsia="Helvetica Neue" w:hAnsi="Helvetica Neue" w:cs="Helvetica Neue"/>
          <w:color w:val="000000"/>
          <w:sz w:val="22"/>
          <w:szCs w:val="22"/>
        </w:rPr>
        <w:t xml:space="preserve"> task after task. </w:t>
      </w:r>
    </w:p>
    <w:p w14:paraId="76D8B259" w14:textId="77777777" w:rsidR="009E249B" w:rsidRDefault="009E249B">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57A30FE8" w14:textId="163F6E85" w:rsidR="00864F17" w:rsidRDefault="00864F17" w:rsidP="00864F17">
      <w:pPr>
        <w:pBdr>
          <w:top w:val="nil"/>
          <w:left w:val="nil"/>
          <w:bottom w:val="nil"/>
          <w:right w:val="nil"/>
          <w:between w:val="nil"/>
        </w:pBdr>
        <w:spacing w:line="312" w:lineRule="auto"/>
        <w:jc w:val="center"/>
        <w:rPr>
          <w:rFonts w:ascii="Helvetica Neue" w:eastAsia="Helvetica Neue" w:hAnsi="Helvetica Neue" w:cs="Helvetica Neue"/>
          <w:color w:val="000000"/>
          <w:sz w:val="22"/>
          <w:szCs w:val="22"/>
        </w:rPr>
      </w:pPr>
      <w:r>
        <w:rPr>
          <w:rFonts w:ascii="Helvetica Neue" w:eastAsia="Helvetica Neue" w:hAnsi="Helvetica Neue" w:cs="Helvetica Neue"/>
          <w:noProof/>
          <w:color w:val="000000"/>
          <w:sz w:val="22"/>
          <w:szCs w:val="22"/>
          <w:lang w:val="en-GB" w:eastAsia="en-GB"/>
        </w:rPr>
        <w:drawing>
          <wp:inline distT="0" distB="0" distL="0" distR="0" wp14:anchorId="5E7A6B9D" wp14:editId="74BA8F2D">
            <wp:extent cx="2951332" cy="2880000"/>
            <wp:effectExtent l="0" t="0" r="1905" b="0"/>
            <wp:docPr id="4" name="Picture 4" descr="Group%20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oup%20wor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1332" cy="2880000"/>
                    </a:xfrm>
                    <a:prstGeom prst="rect">
                      <a:avLst/>
                    </a:prstGeom>
                    <a:noFill/>
                    <a:ln>
                      <a:noFill/>
                    </a:ln>
                  </pic:spPr>
                </pic:pic>
              </a:graphicData>
            </a:graphic>
          </wp:inline>
        </w:drawing>
      </w:r>
    </w:p>
    <w:p w14:paraId="25A626C7" w14:textId="367477FF" w:rsidR="00864F17" w:rsidRDefault="00864F17" w:rsidP="00864F17">
      <w:pPr>
        <w:pBdr>
          <w:top w:val="nil"/>
          <w:left w:val="nil"/>
          <w:bottom w:val="nil"/>
          <w:right w:val="nil"/>
          <w:between w:val="nil"/>
        </w:pBdr>
        <w:spacing w:line="312" w:lineRule="auto"/>
        <w:jc w:val="cente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Children grouped according to a certain </w:t>
      </w:r>
      <w:proofErr w:type="gramStart"/>
      <w:r>
        <w:rPr>
          <w:rFonts w:ascii="Helvetica Neue" w:eastAsia="Helvetica Neue" w:hAnsi="Helvetica Neue" w:cs="Helvetica Neue"/>
          <w:color w:val="000000"/>
          <w:sz w:val="22"/>
          <w:szCs w:val="22"/>
        </w:rPr>
        <w:t>criteria</w:t>
      </w:r>
      <w:proofErr w:type="gramEnd"/>
    </w:p>
    <w:p w14:paraId="0000001C"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1D"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A second strategy I implemented was designing a learning structure with the learners at the start of the year i.e. we all agreed on when, where and how learners would engage in each type of task. For example, every Friday children would have storytelling</w:t>
      </w:r>
      <w:r>
        <w:rPr>
          <w:rFonts w:ascii="Helvetica Neue" w:eastAsia="Helvetica Neue" w:hAnsi="Helvetica Neue" w:cs="Helvetica Neue"/>
          <w:sz w:val="22"/>
          <w:szCs w:val="22"/>
        </w:rPr>
        <w:t>. T</w:t>
      </w:r>
      <w:r>
        <w:rPr>
          <w:rFonts w:ascii="Helvetica Neue" w:eastAsia="Helvetica Neue" w:hAnsi="Helvetica Neue" w:cs="Helvetica Neue"/>
          <w:color w:val="000000"/>
          <w:sz w:val="22"/>
          <w:szCs w:val="22"/>
        </w:rPr>
        <w:t xml:space="preserve">hat </w:t>
      </w:r>
      <w:r>
        <w:rPr>
          <w:rFonts w:ascii="Helvetica Neue" w:eastAsia="Helvetica Neue" w:hAnsi="Helvetica Neue" w:cs="Helvetica Neue"/>
          <w:sz w:val="22"/>
          <w:szCs w:val="22"/>
        </w:rPr>
        <w:t>involved</w:t>
      </w:r>
      <w:r>
        <w:rPr>
          <w:rFonts w:ascii="Helvetica Neue" w:eastAsia="Helvetica Neue" w:hAnsi="Helvetica Neue" w:cs="Helvetica Neue"/>
          <w:color w:val="000000"/>
          <w:sz w:val="22"/>
          <w:szCs w:val="22"/>
        </w:rPr>
        <w:t xml:space="preserve"> making a circle of chairs and contributing with ideas when there was a pause from the teacher and at the end of the story. Every Tuesday learners would hand in their homework by placing the worksheet in the box labeled In-box. Learners were also aware of where each resource was, such as blank sheets of paper or the scissors, so </w:t>
      </w:r>
      <w:r>
        <w:rPr>
          <w:rFonts w:ascii="Helvetica Neue" w:eastAsia="Helvetica Neue" w:hAnsi="Helvetica Neue" w:cs="Helvetica Neue"/>
          <w:color w:val="000000"/>
          <w:sz w:val="22"/>
          <w:szCs w:val="22"/>
        </w:rPr>
        <w:lastRenderedPageBreak/>
        <w:t xml:space="preserve">they were also responsible for keeping the learning system up and running. Creating this learning structure with the learners contributed towards their building a sense of belonging and agency. </w:t>
      </w:r>
    </w:p>
    <w:p w14:paraId="0000001E"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1F"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A third strategy I used was having class conversations with children seated in a circle during or after sharing a story, for instance. This dynamic created a collaborative thread of discussion where every participant added to the common plot at their own level and pace while </w:t>
      </w:r>
      <w:r>
        <w:rPr>
          <w:rFonts w:ascii="Helvetica Neue" w:eastAsia="Helvetica Neue" w:hAnsi="Helvetica Neue" w:cs="Helvetica Neue"/>
          <w:sz w:val="22"/>
          <w:szCs w:val="22"/>
        </w:rPr>
        <w:t>looking one</w:t>
      </w:r>
      <w:r>
        <w:rPr>
          <w:rFonts w:ascii="Helvetica Neue" w:eastAsia="Helvetica Neue" w:hAnsi="Helvetica Neue" w:cs="Helvetica Neue"/>
          <w:color w:val="000000"/>
          <w:sz w:val="22"/>
          <w:szCs w:val="22"/>
        </w:rPr>
        <w:t xml:space="preserve"> another in the eye. This uninterrupted stream of interaction, which encourages children to pick up from other speakers, follow peers’ ideas and build on them is crucial today in a world of often disconnected </w:t>
      </w:r>
      <w:r>
        <w:rPr>
          <w:rFonts w:ascii="Helvetica Neue" w:eastAsia="Helvetica Neue" w:hAnsi="Helvetica Neue" w:cs="Helvetica Neue"/>
          <w:sz w:val="22"/>
          <w:szCs w:val="22"/>
        </w:rPr>
        <w:t>messages</w:t>
      </w:r>
      <w:r>
        <w:rPr>
          <w:rFonts w:ascii="Helvetica Neue" w:eastAsia="Helvetica Neue" w:hAnsi="Helvetica Neue" w:cs="Helvetica Neue"/>
          <w:color w:val="000000"/>
          <w:sz w:val="22"/>
          <w:szCs w:val="22"/>
        </w:rPr>
        <w:t xml:space="preserve"> which make it more difficult for learners to develop communicative competence. </w:t>
      </w:r>
    </w:p>
    <w:p w14:paraId="00000020"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21" w14:textId="7D1721A2"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A fourth strategy I used was thinking of games and activities where </w:t>
      </w:r>
      <w:r>
        <w:rPr>
          <w:rFonts w:ascii="Helvetica Neue" w:eastAsia="Helvetica Neue" w:hAnsi="Helvetica Neue" w:cs="Helvetica Neue"/>
          <w:i/>
          <w:color w:val="000000"/>
          <w:sz w:val="22"/>
          <w:szCs w:val="22"/>
        </w:rPr>
        <w:t xml:space="preserve">all </w:t>
      </w:r>
      <w:r>
        <w:rPr>
          <w:rFonts w:ascii="Helvetica Neue" w:eastAsia="Helvetica Neue" w:hAnsi="Helvetica Neue" w:cs="Helvetica Neue"/>
          <w:color w:val="000000"/>
          <w:sz w:val="22"/>
          <w:szCs w:val="22"/>
        </w:rPr>
        <w:t xml:space="preserve">learners could engage in their own way, not just the more able ones. For </w:t>
      </w:r>
      <w:proofErr w:type="gramStart"/>
      <w:r>
        <w:rPr>
          <w:rFonts w:ascii="Helvetica Neue" w:eastAsia="Helvetica Neue" w:hAnsi="Helvetica Neue" w:cs="Helvetica Neue"/>
          <w:color w:val="000000"/>
          <w:sz w:val="22"/>
          <w:szCs w:val="22"/>
        </w:rPr>
        <w:t>example</w:t>
      </w:r>
      <w:proofErr w:type="gramEnd"/>
      <w:r>
        <w:rPr>
          <w:rFonts w:ascii="Helvetica Neue" w:eastAsia="Helvetica Neue" w:hAnsi="Helvetica Neue" w:cs="Helvetica Neue"/>
          <w:color w:val="000000"/>
          <w:sz w:val="22"/>
          <w:szCs w:val="22"/>
        </w:rPr>
        <w:t xml:space="preserve"> playing charades by having to guess a sentence from a story which was being </w:t>
      </w:r>
      <w:proofErr w:type="spellStart"/>
      <w:r>
        <w:rPr>
          <w:rFonts w:ascii="Helvetica Neue" w:eastAsia="Helvetica Neue" w:hAnsi="Helvetica Neue" w:cs="Helvetica Neue"/>
          <w:color w:val="000000"/>
          <w:sz w:val="22"/>
          <w:szCs w:val="22"/>
        </w:rPr>
        <w:t>dramatised</w:t>
      </w:r>
      <w:proofErr w:type="spellEnd"/>
      <w:r>
        <w:rPr>
          <w:rFonts w:ascii="Helvetica Neue" w:eastAsia="Helvetica Neue" w:hAnsi="Helvetica Neue" w:cs="Helvetica Neue"/>
          <w:color w:val="000000"/>
          <w:sz w:val="22"/>
          <w:szCs w:val="22"/>
        </w:rPr>
        <w:t xml:space="preserve">. At the start of the game, I drew as many dashes on the board as words in the sentence performed. As children in groups or pairs guessed each word being </w:t>
      </w:r>
      <w:proofErr w:type="spellStart"/>
      <w:r>
        <w:rPr>
          <w:rFonts w:ascii="Helvetica Neue" w:eastAsia="Helvetica Neue" w:hAnsi="Helvetica Neue" w:cs="Helvetica Neue"/>
          <w:color w:val="000000"/>
          <w:sz w:val="22"/>
          <w:szCs w:val="22"/>
        </w:rPr>
        <w:t>dramatised</w:t>
      </w:r>
      <w:proofErr w:type="spellEnd"/>
      <w:r>
        <w:rPr>
          <w:rFonts w:ascii="Helvetica Neue" w:eastAsia="Helvetica Neue" w:hAnsi="Helvetica Neue" w:cs="Helvetica Neue"/>
          <w:color w:val="000000"/>
          <w:sz w:val="22"/>
          <w:szCs w:val="22"/>
        </w:rPr>
        <w:t xml:space="preserve">, the word </w:t>
      </w:r>
      <w:r>
        <w:rPr>
          <w:rFonts w:ascii="Helvetica Neue" w:eastAsia="Helvetica Neue" w:hAnsi="Helvetica Neue" w:cs="Helvetica Neue"/>
          <w:sz w:val="22"/>
          <w:szCs w:val="22"/>
        </w:rPr>
        <w:t>would be</w:t>
      </w:r>
      <w:r>
        <w:rPr>
          <w:rFonts w:ascii="Helvetica Neue" w:eastAsia="Helvetica Neue" w:hAnsi="Helvetica Neue" w:cs="Helvetica Neue"/>
          <w:color w:val="000000"/>
          <w:sz w:val="22"/>
          <w:szCs w:val="22"/>
        </w:rPr>
        <w:t xml:space="preserve"> written on the correspon</w:t>
      </w:r>
      <w:r>
        <w:rPr>
          <w:rFonts w:ascii="Helvetica Neue" w:eastAsia="Helvetica Neue" w:hAnsi="Helvetica Neue" w:cs="Helvetica Neue"/>
          <w:sz w:val="22"/>
          <w:szCs w:val="22"/>
        </w:rPr>
        <w:t xml:space="preserve">ding </w:t>
      </w:r>
      <w:r>
        <w:rPr>
          <w:rFonts w:ascii="Helvetica Neue" w:eastAsia="Helvetica Neue" w:hAnsi="Helvetica Neue" w:cs="Helvetica Neue"/>
          <w:color w:val="000000"/>
          <w:sz w:val="22"/>
          <w:szCs w:val="22"/>
        </w:rPr>
        <w:t xml:space="preserve">blank on the board. In this way all children could see how the sentence was formed rather than having to hold the guessed words in their memories. In this way </w:t>
      </w:r>
      <w:r>
        <w:rPr>
          <w:rFonts w:ascii="Helvetica Neue" w:eastAsia="Helvetica Neue" w:hAnsi="Helvetica Neue" w:cs="Helvetica Neue"/>
          <w:i/>
          <w:color w:val="000000"/>
          <w:sz w:val="22"/>
          <w:szCs w:val="22"/>
        </w:rPr>
        <w:t xml:space="preserve">every </w:t>
      </w:r>
      <w:r>
        <w:rPr>
          <w:rFonts w:ascii="Helvetica Neue" w:eastAsia="Helvetica Neue" w:hAnsi="Helvetica Neue" w:cs="Helvetica Neue"/>
          <w:color w:val="000000"/>
          <w:sz w:val="22"/>
          <w:szCs w:val="22"/>
        </w:rPr>
        <w:t xml:space="preserve">learner felt part of the game. </w:t>
      </w:r>
    </w:p>
    <w:p w14:paraId="00000022"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23"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A fifth strategy was selecting relevant picturebooks to use for collective storytelling to reflect on inclusion. For example, </w:t>
      </w:r>
      <w:proofErr w:type="gramStart"/>
      <w:r>
        <w:rPr>
          <w:rFonts w:ascii="Helvetica Neue" w:eastAsia="Helvetica Neue" w:hAnsi="Helvetica Neue" w:cs="Helvetica Neue"/>
          <w:i/>
          <w:color w:val="000000"/>
          <w:sz w:val="22"/>
          <w:szCs w:val="22"/>
        </w:rPr>
        <w:t>Stuck</w:t>
      </w:r>
      <w:proofErr w:type="gramEnd"/>
      <w:r>
        <w:rPr>
          <w:rFonts w:ascii="Helvetica Neue" w:eastAsia="Helvetica Neue" w:hAnsi="Helvetica Neue" w:cs="Helvetica Neue"/>
          <w:color w:val="000000"/>
          <w:sz w:val="22"/>
          <w:szCs w:val="22"/>
        </w:rPr>
        <w:t xml:space="preserve"> by Oliver Jeffers, </w:t>
      </w:r>
      <w:r>
        <w:rPr>
          <w:rFonts w:ascii="Helvetica Neue" w:eastAsia="Helvetica Neue" w:hAnsi="Helvetica Neue" w:cs="Helvetica Neue"/>
          <w:i/>
          <w:color w:val="000000"/>
          <w:sz w:val="22"/>
          <w:szCs w:val="22"/>
        </w:rPr>
        <w:t>How to be a Lion</w:t>
      </w:r>
      <w:r>
        <w:rPr>
          <w:rFonts w:ascii="Helvetica Neue" w:eastAsia="Helvetica Neue" w:hAnsi="Helvetica Neue" w:cs="Helvetica Neue"/>
          <w:color w:val="000000"/>
          <w:sz w:val="22"/>
          <w:szCs w:val="22"/>
        </w:rPr>
        <w:t xml:space="preserve"> by Ed Vere, </w:t>
      </w:r>
      <w:r>
        <w:rPr>
          <w:rFonts w:ascii="Helvetica Neue" w:eastAsia="Helvetica Neue" w:hAnsi="Helvetica Neue" w:cs="Helvetica Neue"/>
          <w:i/>
          <w:color w:val="000000"/>
          <w:sz w:val="22"/>
          <w:szCs w:val="22"/>
        </w:rPr>
        <w:t>The Day War Came</w:t>
      </w:r>
      <w:r>
        <w:rPr>
          <w:rFonts w:ascii="Helvetica Neue" w:eastAsia="Helvetica Neue" w:hAnsi="Helvetica Neue" w:cs="Helvetica Neue"/>
          <w:color w:val="000000"/>
          <w:sz w:val="22"/>
          <w:szCs w:val="22"/>
        </w:rPr>
        <w:t xml:space="preserve"> by Nicola Davies, </w:t>
      </w:r>
      <w:r>
        <w:rPr>
          <w:rFonts w:ascii="Helvetica Neue" w:eastAsia="Helvetica Neue" w:hAnsi="Helvetica Neue" w:cs="Helvetica Neue"/>
          <w:i/>
          <w:color w:val="000000"/>
          <w:sz w:val="22"/>
          <w:szCs w:val="22"/>
        </w:rPr>
        <w:t>The Suitcase</w:t>
      </w:r>
      <w:r>
        <w:rPr>
          <w:rFonts w:ascii="Helvetica Neue" w:eastAsia="Helvetica Neue" w:hAnsi="Helvetica Neue" w:cs="Helvetica Neue"/>
          <w:color w:val="000000"/>
          <w:sz w:val="22"/>
          <w:szCs w:val="22"/>
        </w:rPr>
        <w:t xml:space="preserve"> by Chris Naylor-Ballesteros, </w:t>
      </w:r>
      <w:r>
        <w:rPr>
          <w:rFonts w:ascii="Helvetica Neue" w:eastAsia="Helvetica Neue" w:hAnsi="Helvetica Neue" w:cs="Helvetica Neue"/>
          <w:i/>
          <w:color w:val="000000"/>
          <w:sz w:val="22"/>
          <w:szCs w:val="22"/>
        </w:rPr>
        <w:t>I Want my Hat Back</w:t>
      </w:r>
      <w:r>
        <w:rPr>
          <w:rFonts w:ascii="Helvetica Neue" w:eastAsia="Helvetica Neue" w:hAnsi="Helvetica Neue" w:cs="Helvetica Neue"/>
          <w:color w:val="000000"/>
          <w:sz w:val="22"/>
          <w:szCs w:val="22"/>
        </w:rPr>
        <w:t xml:space="preserve"> by Jon Klassen, and </w:t>
      </w:r>
      <w:r>
        <w:rPr>
          <w:rFonts w:ascii="Helvetica Neue" w:eastAsia="Helvetica Neue" w:hAnsi="Helvetica Neue" w:cs="Helvetica Neue"/>
          <w:i/>
          <w:color w:val="000000"/>
          <w:sz w:val="22"/>
          <w:szCs w:val="22"/>
        </w:rPr>
        <w:t>Green Lizards and Red Rectangles and the Blue Ball</w:t>
      </w:r>
      <w:r>
        <w:rPr>
          <w:rFonts w:ascii="Helvetica Neue" w:eastAsia="Helvetica Neue" w:hAnsi="Helvetica Neue" w:cs="Helvetica Neue"/>
          <w:color w:val="000000"/>
          <w:sz w:val="22"/>
          <w:szCs w:val="22"/>
        </w:rPr>
        <w:t xml:space="preserve"> by Steve Antony, to mention but a few. These stories enabled learners to meet and discuss different characters and plots which dealt with inclusion in diverse contexts. </w:t>
      </w:r>
    </w:p>
    <w:p w14:paraId="00000024"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25"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Last, we regularly assessed learning with reflective accounts and surveys, which included simple instructions, such as </w:t>
      </w:r>
      <w:r>
        <w:rPr>
          <w:rFonts w:ascii="Helvetica Neue" w:eastAsia="Helvetica Neue" w:hAnsi="Helvetica Neue" w:cs="Helvetica Neue"/>
          <w:sz w:val="22"/>
          <w:szCs w:val="22"/>
        </w:rPr>
        <w:t>‘D</w:t>
      </w:r>
      <w:r>
        <w:rPr>
          <w:rFonts w:ascii="Helvetica Neue" w:eastAsia="Helvetica Neue" w:hAnsi="Helvetica Neue" w:cs="Helvetica Neue"/>
          <w:color w:val="000000"/>
          <w:sz w:val="22"/>
          <w:szCs w:val="22"/>
        </w:rPr>
        <w:t>raw a moment when y</w:t>
      </w:r>
      <w:r>
        <w:rPr>
          <w:rFonts w:ascii="Helvetica Neue" w:eastAsia="Helvetica Neue" w:hAnsi="Helvetica Neue" w:cs="Helvetica Neue"/>
          <w:sz w:val="22"/>
          <w:szCs w:val="22"/>
        </w:rPr>
        <w:t xml:space="preserve">ou felt included and one when you did not’, </w:t>
      </w:r>
      <w:r>
        <w:rPr>
          <w:rFonts w:ascii="Helvetica Neue" w:eastAsia="Helvetica Neue" w:hAnsi="Helvetica Neue" w:cs="Helvetica Neue"/>
          <w:color w:val="000000"/>
          <w:sz w:val="22"/>
          <w:szCs w:val="22"/>
        </w:rPr>
        <w:t>or questions in English</w:t>
      </w:r>
      <w:r>
        <w:rPr>
          <w:rFonts w:ascii="Helvetica Neue" w:eastAsia="Helvetica Neue" w:hAnsi="Helvetica Neue" w:cs="Helvetica Neue"/>
          <w:sz w:val="22"/>
          <w:szCs w:val="22"/>
        </w:rPr>
        <w:t>, such as</w:t>
      </w:r>
      <w:r>
        <w:rPr>
          <w:rFonts w:ascii="Helvetica Neue" w:eastAsia="Helvetica Neue" w:hAnsi="Helvetica Neue" w:cs="Helvetica Neue"/>
          <w:color w:val="000000"/>
          <w:sz w:val="22"/>
          <w:szCs w:val="22"/>
        </w:rPr>
        <w:t xml:space="preserve"> </w:t>
      </w:r>
      <w:r>
        <w:rPr>
          <w:rFonts w:ascii="Helvetica Neue" w:eastAsia="Helvetica Neue" w:hAnsi="Helvetica Neue" w:cs="Helvetica Neue"/>
          <w:sz w:val="22"/>
          <w:szCs w:val="22"/>
        </w:rPr>
        <w:t>‘Did you feel included in this task?’; ‘</w:t>
      </w:r>
      <w:r>
        <w:rPr>
          <w:rFonts w:ascii="Helvetica Neue" w:eastAsia="Helvetica Neue" w:hAnsi="Helvetica Neue" w:cs="Helvetica Neue"/>
          <w:color w:val="000000"/>
          <w:sz w:val="22"/>
          <w:szCs w:val="22"/>
        </w:rPr>
        <w:t>How/Why?</w:t>
      </w:r>
      <w:r>
        <w:rPr>
          <w:rFonts w:ascii="Helvetica Neue" w:eastAsia="Helvetica Neue" w:hAnsi="Helvetica Neue" w:cs="Helvetica Neue"/>
          <w:sz w:val="22"/>
          <w:szCs w:val="22"/>
        </w:rPr>
        <w:t>’; ‘Were you able to interact in English?’. Additionally, as well as engaging in self-assessment and giving and receiving feedback, children</w:t>
      </w:r>
      <w:r>
        <w:rPr>
          <w:rFonts w:ascii="Helvetica Neue" w:eastAsia="Helvetica Neue" w:hAnsi="Helvetica Neue" w:cs="Helvetica Neue"/>
          <w:color w:val="000000"/>
          <w:sz w:val="22"/>
          <w:szCs w:val="22"/>
        </w:rPr>
        <w:t xml:space="preserve"> </w:t>
      </w:r>
      <w:r>
        <w:rPr>
          <w:rFonts w:ascii="Helvetica Neue" w:eastAsia="Helvetica Neue" w:hAnsi="Helvetica Neue" w:cs="Helvetica Neue"/>
          <w:sz w:val="22"/>
          <w:szCs w:val="22"/>
        </w:rPr>
        <w:t xml:space="preserve">often </w:t>
      </w:r>
      <w:r>
        <w:rPr>
          <w:rFonts w:ascii="Helvetica Neue" w:eastAsia="Helvetica Neue" w:hAnsi="Helvetica Neue" w:cs="Helvetica Neue"/>
          <w:color w:val="000000"/>
          <w:sz w:val="22"/>
          <w:szCs w:val="22"/>
        </w:rPr>
        <w:t>confronted what</w:t>
      </w:r>
      <w:r>
        <w:rPr>
          <w:rFonts w:ascii="Helvetica Neue" w:eastAsia="Helvetica Neue" w:hAnsi="Helvetica Neue" w:cs="Helvetica Neue"/>
          <w:sz w:val="22"/>
          <w:szCs w:val="22"/>
        </w:rPr>
        <w:t xml:space="preserve"> they</w:t>
      </w:r>
      <w:r>
        <w:rPr>
          <w:rFonts w:ascii="Helvetica Neue" w:eastAsia="Helvetica Neue" w:hAnsi="Helvetica Neue" w:cs="Helvetica Neue"/>
          <w:color w:val="000000"/>
          <w:sz w:val="22"/>
          <w:szCs w:val="22"/>
        </w:rPr>
        <w:t xml:space="preserve"> were </w:t>
      </w:r>
      <w:r>
        <w:rPr>
          <w:rFonts w:ascii="Helvetica Neue" w:eastAsia="Helvetica Neue" w:hAnsi="Helvetica Neue" w:cs="Helvetica Neue"/>
          <w:sz w:val="22"/>
          <w:szCs w:val="22"/>
        </w:rPr>
        <w:t>doing</w:t>
      </w:r>
      <w:r>
        <w:rPr>
          <w:rFonts w:ascii="Helvetica Neue" w:eastAsia="Helvetica Neue" w:hAnsi="Helvetica Neue" w:cs="Helvetica Neue"/>
          <w:color w:val="000000"/>
          <w:sz w:val="22"/>
          <w:szCs w:val="22"/>
        </w:rPr>
        <w:t xml:space="preserve"> to our yearly goal to see if </w:t>
      </w:r>
      <w:r>
        <w:rPr>
          <w:rFonts w:ascii="Helvetica Neue" w:eastAsia="Helvetica Neue" w:hAnsi="Helvetica Neue" w:cs="Helvetica Neue"/>
          <w:sz w:val="22"/>
          <w:szCs w:val="22"/>
        </w:rPr>
        <w:t>they</w:t>
      </w:r>
      <w:r>
        <w:rPr>
          <w:rFonts w:ascii="Helvetica Neue" w:eastAsia="Helvetica Neue" w:hAnsi="Helvetica Neue" w:cs="Helvetica Neue"/>
          <w:color w:val="000000"/>
          <w:sz w:val="22"/>
          <w:szCs w:val="22"/>
        </w:rPr>
        <w:t xml:space="preserve"> were making good use of </w:t>
      </w:r>
      <w:r>
        <w:rPr>
          <w:rFonts w:ascii="Helvetica Neue" w:eastAsia="Helvetica Neue" w:hAnsi="Helvetica Neue" w:cs="Helvetica Neue"/>
          <w:sz w:val="22"/>
          <w:szCs w:val="22"/>
        </w:rPr>
        <w:t>their</w:t>
      </w:r>
      <w:r>
        <w:rPr>
          <w:rFonts w:ascii="Helvetica Neue" w:eastAsia="Helvetica Neue" w:hAnsi="Helvetica Neue" w:cs="Helvetica Neue"/>
          <w:color w:val="000000"/>
          <w:sz w:val="22"/>
          <w:szCs w:val="22"/>
        </w:rPr>
        <w:t xml:space="preserve"> time. </w:t>
      </w:r>
    </w:p>
    <w:p w14:paraId="00000026" w14:textId="77777777" w:rsidR="00F666A6" w:rsidRDefault="00F666A6">
      <w:pPr>
        <w:pBdr>
          <w:top w:val="nil"/>
          <w:left w:val="nil"/>
          <w:bottom w:val="nil"/>
          <w:right w:val="nil"/>
          <w:between w:val="nil"/>
        </w:pBdr>
        <w:spacing w:line="312" w:lineRule="auto"/>
        <w:rPr>
          <w:rFonts w:ascii="Helvetica Neue" w:eastAsia="Helvetica Neue" w:hAnsi="Helvetica Neue" w:cs="Helvetica Neue"/>
          <w:sz w:val="22"/>
          <w:szCs w:val="22"/>
        </w:rPr>
      </w:pPr>
    </w:p>
    <w:p w14:paraId="00000027" w14:textId="77777777" w:rsidR="00F666A6" w:rsidRPr="009E249B" w:rsidRDefault="00BF2C65">
      <w:pPr>
        <w:pBdr>
          <w:top w:val="nil"/>
          <w:left w:val="nil"/>
          <w:bottom w:val="nil"/>
          <w:right w:val="nil"/>
          <w:between w:val="nil"/>
        </w:pBdr>
        <w:spacing w:line="312" w:lineRule="auto"/>
        <w:rPr>
          <w:rFonts w:ascii="Helvetica Neue" w:eastAsia="Helvetica Neue" w:hAnsi="Helvetica Neue" w:cs="Helvetica Neue"/>
          <w:b/>
          <w:bCs/>
          <w:color w:val="000000"/>
          <w:sz w:val="22"/>
          <w:szCs w:val="22"/>
        </w:rPr>
      </w:pPr>
      <w:r w:rsidRPr="009E249B">
        <w:rPr>
          <w:rFonts w:ascii="Helvetica Neue" w:eastAsia="Helvetica Neue" w:hAnsi="Helvetica Neue" w:cs="Helvetica Neue"/>
          <w:b/>
          <w:bCs/>
          <w:color w:val="000000"/>
          <w:sz w:val="22"/>
          <w:szCs w:val="22"/>
        </w:rPr>
        <w:t>Conclusion and implications</w:t>
      </w:r>
    </w:p>
    <w:p w14:paraId="00000028"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29" w14:textId="77777777" w:rsidR="00F666A6" w:rsidRDefault="00BF2C65">
      <w:pPr>
        <w:pBdr>
          <w:top w:val="nil"/>
          <w:left w:val="nil"/>
          <w:bottom w:val="nil"/>
          <w:right w:val="nil"/>
          <w:between w:val="nil"/>
        </w:pBdr>
        <w:spacing w:line="312"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With a </w:t>
      </w:r>
      <w:proofErr w:type="spellStart"/>
      <w:r>
        <w:rPr>
          <w:rFonts w:ascii="Helvetica Neue" w:eastAsia="Helvetica Neue" w:hAnsi="Helvetica Neue" w:cs="Helvetica Neue"/>
          <w:color w:val="000000"/>
          <w:sz w:val="22"/>
          <w:szCs w:val="22"/>
        </w:rPr>
        <w:t>leaderly</w:t>
      </w:r>
      <w:proofErr w:type="spellEnd"/>
      <w:r>
        <w:rPr>
          <w:rFonts w:ascii="Helvetica Neue" w:eastAsia="Helvetica Neue" w:hAnsi="Helvetica Neue" w:cs="Helvetica Neue"/>
          <w:color w:val="000000"/>
          <w:sz w:val="22"/>
          <w:szCs w:val="22"/>
        </w:rPr>
        <w:t xml:space="preserve"> and inclusive approach to ELT, learners developed agency, deepened their understanding of inclusion, and expanded their interactive communicative competence. Children reported feeling more at ease while engaged in the tasks, especially in group work, and having a sense of purpose and achievement. In addition, children learnt more about themselves and how to collaborate </w:t>
      </w:r>
      <w:r>
        <w:rPr>
          <w:rFonts w:ascii="Helvetica Neue" w:eastAsia="Helvetica Neue" w:hAnsi="Helvetica Neue" w:cs="Helvetica Neue"/>
          <w:color w:val="000000"/>
          <w:sz w:val="22"/>
          <w:szCs w:val="22"/>
        </w:rPr>
        <w:lastRenderedPageBreak/>
        <w:t xml:space="preserve">with others. They also became more aware of how they could act in the event of witnessing an act of discrimination, however subtle this was. Learners who have experienced a </w:t>
      </w:r>
      <w:proofErr w:type="spellStart"/>
      <w:r>
        <w:rPr>
          <w:rFonts w:ascii="Helvetica Neue" w:eastAsia="Helvetica Neue" w:hAnsi="Helvetica Neue" w:cs="Helvetica Neue"/>
          <w:color w:val="000000"/>
          <w:sz w:val="22"/>
          <w:szCs w:val="22"/>
        </w:rPr>
        <w:t>leaderly</w:t>
      </w:r>
      <w:proofErr w:type="spellEnd"/>
      <w:r>
        <w:rPr>
          <w:rFonts w:ascii="Helvetica Neue" w:eastAsia="Helvetica Neue" w:hAnsi="Helvetica Neue" w:cs="Helvetica Neue"/>
          <w:color w:val="000000"/>
          <w:sz w:val="22"/>
          <w:szCs w:val="22"/>
        </w:rPr>
        <w:t xml:space="preserve"> and inclusive stance of learning English as an additional language may be in a better position to advocate for social justice. Considering this implication beyond the classroom, ELT educators who implement a </w:t>
      </w:r>
      <w:proofErr w:type="spellStart"/>
      <w:r>
        <w:rPr>
          <w:rFonts w:ascii="Helvetica Neue" w:eastAsia="Helvetica Neue" w:hAnsi="Helvetica Neue" w:cs="Helvetica Neue"/>
          <w:color w:val="000000"/>
          <w:sz w:val="22"/>
          <w:szCs w:val="22"/>
        </w:rPr>
        <w:t>leaderly</w:t>
      </w:r>
      <w:proofErr w:type="spellEnd"/>
      <w:r>
        <w:rPr>
          <w:rFonts w:ascii="Helvetica Neue" w:eastAsia="Helvetica Neue" w:hAnsi="Helvetica Neue" w:cs="Helvetica Neue"/>
          <w:color w:val="000000"/>
          <w:sz w:val="22"/>
          <w:szCs w:val="22"/>
        </w:rPr>
        <w:t xml:space="preserve"> and inclusive approach can contribute to building more equitable, inclusive, and empowered societies. </w:t>
      </w:r>
    </w:p>
    <w:p w14:paraId="0000002A"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2B" w14:textId="77777777" w:rsidR="00F666A6" w:rsidRPr="009E249B" w:rsidRDefault="00BF2C65">
      <w:pPr>
        <w:pBdr>
          <w:top w:val="nil"/>
          <w:left w:val="nil"/>
          <w:bottom w:val="nil"/>
          <w:right w:val="nil"/>
          <w:between w:val="nil"/>
        </w:pBdr>
        <w:spacing w:line="312" w:lineRule="auto"/>
        <w:rPr>
          <w:rFonts w:ascii="Helvetica Neue" w:eastAsia="Helvetica Neue" w:hAnsi="Helvetica Neue" w:cs="Helvetica Neue"/>
          <w:b/>
          <w:bCs/>
          <w:color w:val="000000"/>
          <w:sz w:val="22"/>
          <w:szCs w:val="22"/>
        </w:rPr>
      </w:pPr>
      <w:r w:rsidRPr="009E249B">
        <w:rPr>
          <w:rFonts w:ascii="Helvetica Neue" w:eastAsia="Helvetica Neue" w:hAnsi="Helvetica Neue" w:cs="Helvetica Neue"/>
          <w:b/>
          <w:bCs/>
          <w:color w:val="000000"/>
          <w:sz w:val="22"/>
          <w:szCs w:val="22"/>
        </w:rPr>
        <w:t>References</w:t>
      </w:r>
    </w:p>
    <w:p w14:paraId="0000002C" w14:textId="77777777" w:rsidR="00F666A6" w:rsidRDefault="00F666A6">
      <w:pPr>
        <w:pBdr>
          <w:top w:val="nil"/>
          <w:left w:val="nil"/>
          <w:bottom w:val="nil"/>
          <w:right w:val="nil"/>
          <w:between w:val="nil"/>
        </w:pBdr>
        <w:spacing w:line="312" w:lineRule="auto"/>
        <w:rPr>
          <w:rFonts w:ascii="Helvetica Neue" w:eastAsia="Helvetica Neue" w:hAnsi="Helvetica Neue" w:cs="Helvetica Neue"/>
          <w:color w:val="000000"/>
          <w:sz w:val="22"/>
          <w:szCs w:val="22"/>
        </w:rPr>
      </w:pPr>
    </w:p>
    <w:p w14:paraId="0000002D"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Ainscow, M. (2020). Promoting inclusion and equity in education: lessons from international experiences, </w:t>
      </w:r>
      <w:r>
        <w:rPr>
          <w:rFonts w:ascii="Helvetica Neue" w:eastAsia="Helvetica Neue" w:hAnsi="Helvetica Neue" w:cs="Helvetica Neue"/>
          <w:i/>
          <w:color w:val="000000"/>
          <w:sz w:val="22"/>
          <w:szCs w:val="22"/>
        </w:rPr>
        <w:t>Nordic Journal of Studies in Educational Policy, 6</w:t>
      </w:r>
      <w:r>
        <w:rPr>
          <w:rFonts w:ascii="Helvetica Neue" w:eastAsia="Helvetica Neue" w:hAnsi="Helvetica Neue" w:cs="Helvetica Neue"/>
          <w:color w:val="000000"/>
          <w:sz w:val="22"/>
          <w:szCs w:val="22"/>
        </w:rPr>
        <w:t xml:space="preserve">(1), 7-16. </w:t>
      </w:r>
    </w:p>
    <w:p w14:paraId="0000002E"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Banegas, D., Beacon, G., &amp; Pérez Berbain, M. (Eds.) (2021). </w:t>
      </w:r>
      <w:r>
        <w:rPr>
          <w:rFonts w:ascii="Helvetica Neue" w:eastAsia="Helvetica Neue" w:hAnsi="Helvetica Neue" w:cs="Helvetica Neue"/>
          <w:i/>
          <w:color w:val="000000"/>
          <w:sz w:val="22"/>
          <w:szCs w:val="22"/>
        </w:rPr>
        <w:t>International Perspectives on Diversity in ELT</w:t>
      </w:r>
      <w:r>
        <w:rPr>
          <w:rFonts w:ascii="Helvetica Neue" w:eastAsia="Helvetica Neue" w:hAnsi="Helvetica Neue" w:cs="Helvetica Neue"/>
          <w:color w:val="000000"/>
          <w:sz w:val="22"/>
          <w:szCs w:val="22"/>
        </w:rPr>
        <w:t>. Palgrave.</w:t>
      </w:r>
    </w:p>
    <w:p w14:paraId="0000002F"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Black-Hawkins, K. Maguire, L. &amp; Kershner, R. (2021). Developing inclusive classroom communities: what matters to children in their experiences of inclusive classroom learning? </w:t>
      </w:r>
      <w:r>
        <w:rPr>
          <w:rFonts w:ascii="Helvetica Neue" w:eastAsia="Helvetica Neue" w:hAnsi="Helvetica Neue" w:cs="Helvetica Neue"/>
          <w:i/>
          <w:color w:val="000000"/>
          <w:sz w:val="22"/>
          <w:szCs w:val="22"/>
        </w:rPr>
        <w:t>Education</w:t>
      </w:r>
      <w:r>
        <w:rPr>
          <w:rFonts w:ascii="Helvetica Neue" w:eastAsia="Helvetica Neue" w:hAnsi="Helvetica Neue" w:cs="Helvetica Neue"/>
          <w:color w:val="000000"/>
          <w:sz w:val="22"/>
          <w:szCs w:val="22"/>
        </w:rPr>
        <w:t xml:space="preserve">, 3-13. </w:t>
      </w:r>
    </w:p>
    <w:p w14:paraId="00000030" w14:textId="21688B7A"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Chua, F., Perkins, D., &amp; Wilson, D. (2021). </w:t>
      </w:r>
      <w:r>
        <w:rPr>
          <w:rFonts w:ascii="Helvetica Neue" w:eastAsia="Helvetica Neue" w:hAnsi="Helvetica Neue" w:cs="Helvetica Neue"/>
          <w:i/>
          <w:color w:val="000000"/>
          <w:sz w:val="22"/>
          <w:szCs w:val="22"/>
        </w:rPr>
        <w:t>Leading learning that matters.</w:t>
      </w:r>
      <w:r w:rsidR="00334B22">
        <w:rPr>
          <w:rFonts w:ascii="Helvetica Neue" w:eastAsia="Helvetica Neue" w:hAnsi="Helvetica Neue" w:cs="Helvetica Neue"/>
          <w:color w:val="000000"/>
          <w:sz w:val="22"/>
          <w:szCs w:val="22"/>
        </w:rPr>
        <w:t xml:space="preserve"> Project Zero,</w:t>
      </w:r>
      <w:r>
        <w:rPr>
          <w:rFonts w:ascii="Helvetica Neue" w:eastAsia="Helvetica Neue" w:hAnsi="Helvetica Neue" w:cs="Helvetica Neue"/>
          <w:color w:val="000000"/>
          <w:sz w:val="22"/>
          <w:szCs w:val="22"/>
        </w:rPr>
        <w:t xml:space="preserve"> Harvard School of Education. </w:t>
      </w:r>
    </w:p>
    <w:p w14:paraId="00000031"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Conway, J.M. (2023). Teacher leadership: An exploration of teachers leading in many ways across varying school contexts. </w:t>
      </w:r>
      <w:r>
        <w:rPr>
          <w:rFonts w:ascii="Helvetica Neue" w:eastAsia="Helvetica Neue" w:hAnsi="Helvetica Neue" w:cs="Helvetica Neue"/>
          <w:i/>
          <w:color w:val="000000"/>
          <w:sz w:val="22"/>
          <w:szCs w:val="22"/>
        </w:rPr>
        <w:t>Leading &amp; Managing, 29</w:t>
      </w:r>
      <w:r>
        <w:rPr>
          <w:rFonts w:ascii="Helvetica Neue" w:eastAsia="Helvetica Neue" w:hAnsi="Helvetica Neue" w:cs="Helvetica Neue"/>
          <w:color w:val="000000"/>
          <w:sz w:val="22"/>
          <w:szCs w:val="22"/>
        </w:rPr>
        <w:t xml:space="preserve">(1), pp. ii-iv. </w:t>
      </w:r>
    </w:p>
    <w:p w14:paraId="00000032"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Council of Europe (2020). </w:t>
      </w:r>
      <w:r>
        <w:rPr>
          <w:rFonts w:ascii="Helvetica Neue" w:eastAsia="Helvetica Neue" w:hAnsi="Helvetica Neue" w:cs="Helvetica Neue"/>
          <w:i/>
          <w:color w:val="000000"/>
          <w:sz w:val="22"/>
          <w:szCs w:val="22"/>
        </w:rPr>
        <w:t xml:space="preserve">Common </w:t>
      </w:r>
      <w:proofErr w:type="spellStart"/>
      <w:r>
        <w:rPr>
          <w:rFonts w:ascii="Helvetica Neue" w:eastAsia="Helvetica Neue" w:hAnsi="Helvetica Neue" w:cs="Helvetica Neue"/>
          <w:i/>
          <w:color w:val="000000"/>
          <w:sz w:val="22"/>
          <w:szCs w:val="22"/>
        </w:rPr>
        <w:t>european</w:t>
      </w:r>
      <w:proofErr w:type="spellEnd"/>
      <w:r>
        <w:rPr>
          <w:rFonts w:ascii="Helvetica Neue" w:eastAsia="Helvetica Neue" w:hAnsi="Helvetica Neue" w:cs="Helvetica Neue"/>
          <w:i/>
          <w:color w:val="000000"/>
          <w:sz w:val="22"/>
          <w:szCs w:val="22"/>
        </w:rPr>
        <w:t xml:space="preserve"> framework of reference for languages: learning, teaching, assessment – Companion volume</w:t>
      </w:r>
      <w:r>
        <w:rPr>
          <w:rFonts w:ascii="Helvetica Neue" w:eastAsia="Helvetica Neue" w:hAnsi="Helvetica Neue" w:cs="Helvetica Neue"/>
          <w:color w:val="000000"/>
          <w:sz w:val="22"/>
          <w:szCs w:val="22"/>
        </w:rPr>
        <w:t xml:space="preserve">, Council of Europe Publishing. </w:t>
      </w:r>
      <w:hyperlink r:id="rId11">
        <w:r>
          <w:rPr>
            <w:rFonts w:ascii="Helvetica Neue" w:eastAsia="Helvetica Neue" w:hAnsi="Helvetica Neue" w:cs="Helvetica Neue"/>
            <w:color w:val="000000"/>
            <w:sz w:val="22"/>
            <w:szCs w:val="22"/>
            <w:u w:val="single"/>
          </w:rPr>
          <w:t>www.coe.int/lang-cefr</w:t>
        </w:r>
      </w:hyperlink>
    </w:p>
    <w:p w14:paraId="00000033"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DePree, M. (2004). </w:t>
      </w:r>
      <w:r>
        <w:rPr>
          <w:rFonts w:ascii="Helvetica Neue" w:eastAsia="Helvetica Neue" w:hAnsi="Helvetica Neue" w:cs="Helvetica Neue"/>
          <w:i/>
          <w:color w:val="000000"/>
          <w:sz w:val="22"/>
          <w:szCs w:val="22"/>
        </w:rPr>
        <w:t>Leadership is an art</w:t>
      </w:r>
      <w:r>
        <w:rPr>
          <w:rFonts w:ascii="Helvetica Neue" w:eastAsia="Helvetica Neue" w:hAnsi="Helvetica Neue" w:cs="Helvetica Neue"/>
          <w:color w:val="000000"/>
          <w:sz w:val="22"/>
          <w:szCs w:val="22"/>
        </w:rPr>
        <w:t>. Bantam Doubleday Dell Publishing Group.</w:t>
      </w:r>
    </w:p>
    <w:p w14:paraId="00000034"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DePree, M. (2008). </w:t>
      </w:r>
      <w:r>
        <w:rPr>
          <w:rFonts w:ascii="Helvetica Neue" w:eastAsia="Helvetica Neue" w:hAnsi="Helvetica Neue" w:cs="Helvetica Neue"/>
          <w:i/>
          <w:color w:val="000000"/>
          <w:sz w:val="22"/>
          <w:szCs w:val="22"/>
        </w:rPr>
        <w:t>Leadership jazz.</w:t>
      </w:r>
      <w:r>
        <w:rPr>
          <w:rFonts w:ascii="Helvetica Neue" w:eastAsia="Helvetica Neue" w:hAnsi="Helvetica Neue" w:cs="Helvetica Neue"/>
          <w:color w:val="000000"/>
          <w:sz w:val="22"/>
          <w:szCs w:val="22"/>
        </w:rPr>
        <w:t xml:space="preserve"> Crown Business. </w:t>
      </w:r>
    </w:p>
    <w:p w14:paraId="00000035"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Groves, M., Hobbs, A., &amp; West-Burnham, J. (2017). </w:t>
      </w:r>
      <w:r>
        <w:rPr>
          <w:rFonts w:ascii="Helvetica Neue" w:eastAsia="Helvetica Neue" w:hAnsi="Helvetica Neue" w:cs="Helvetica Neue"/>
          <w:i/>
          <w:color w:val="000000"/>
          <w:sz w:val="22"/>
          <w:szCs w:val="22"/>
        </w:rPr>
        <w:t>Leadership for tomorrow</w:t>
      </w:r>
      <w:r>
        <w:rPr>
          <w:rFonts w:ascii="Helvetica Neue" w:eastAsia="Helvetica Neue" w:hAnsi="Helvetica Neue" w:cs="Helvetica Neue"/>
          <w:color w:val="000000"/>
          <w:sz w:val="22"/>
          <w:szCs w:val="22"/>
        </w:rPr>
        <w:t xml:space="preserve">. Crown House Publishing. </w:t>
      </w:r>
    </w:p>
    <w:p w14:paraId="00000036"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Kouzes, J., &amp; Posner, B. (2012). </w:t>
      </w:r>
      <w:r>
        <w:rPr>
          <w:rFonts w:ascii="Helvetica Neue" w:eastAsia="Helvetica Neue" w:hAnsi="Helvetica Neue" w:cs="Helvetica Neue"/>
          <w:i/>
          <w:color w:val="000000"/>
          <w:sz w:val="22"/>
          <w:szCs w:val="22"/>
        </w:rPr>
        <w:t>The leadership challenges: how to make extraordinary things happen in organizations</w:t>
      </w:r>
      <w:r>
        <w:rPr>
          <w:rFonts w:ascii="Helvetica Neue" w:eastAsia="Helvetica Neue" w:hAnsi="Helvetica Neue" w:cs="Helvetica Neue"/>
          <w:color w:val="000000"/>
          <w:sz w:val="22"/>
          <w:szCs w:val="22"/>
        </w:rPr>
        <w:t xml:space="preserve">. Jossey-Bass. </w:t>
      </w:r>
    </w:p>
    <w:p w14:paraId="00000037"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i/>
          <w:color w:val="000000"/>
          <w:sz w:val="22"/>
          <w:szCs w:val="22"/>
        </w:rPr>
      </w:pPr>
      <w:r>
        <w:rPr>
          <w:rFonts w:ascii="Helvetica Neue" w:eastAsia="Helvetica Neue" w:hAnsi="Helvetica Neue" w:cs="Helvetica Neue"/>
          <w:color w:val="000000"/>
          <w:sz w:val="22"/>
          <w:szCs w:val="22"/>
        </w:rPr>
        <w:t xml:space="preserve">Lambert, L. (2003). Leadership redefined: an evocative context for teacher leadership. </w:t>
      </w:r>
      <w:r>
        <w:rPr>
          <w:rFonts w:ascii="Helvetica Neue" w:eastAsia="Helvetica Neue" w:hAnsi="Helvetica Neue" w:cs="Helvetica Neue"/>
          <w:i/>
          <w:color w:val="000000"/>
          <w:sz w:val="22"/>
          <w:szCs w:val="22"/>
        </w:rPr>
        <w:t>School</w:t>
      </w:r>
    </w:p>
    <w:p w14:paraId="00000038"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i/>
          <w:color w:val="000000"/>
          <w:sz w:val="22"/>
          <w:szCs w:val="22"/>
        </w:rPr>
        <w:t>Leadership and Management, 23</w:t>
      </w:r>
      <w:r>
        <w:rPr>
          <w:rFonts w:ascii="Helvetica Neue" w:eastAsia="Helvetica Neue" w:hAnsi="Helvetica Neue" w:cs="Helvetica Neue"/>
          <w:color w:val="000000"/>
          <w:sz w:val="22"/>
          <w:szCs w:val="22"/>
        </w:rPr>
        <w:t>(4), 421-430.</w:t>
      </w:r>
    </w:p>
    <w:p w14:paraId="00000039"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proofErr w:type="spellStart"/>
      <w:r>
        <w:rPr>
          <w:rFonts w:ascii="Helvetica Neue" w:eastAsia="Helvetica Neue" w:hAnsi="Helvetica Neue" w:cs="Helvetica Neue"/>
          <w:color w:val="000000"/>
          <w:sz w:val="22"/>
          <w:szCs w:val="22"/>
        </w:rPr>
        <w:t>Leithwood</w:t>
      </w:r>
      <w:proofErr w:type="spellEnd"/>
      <w:r>
        <w:rPr>
          <w:rFonts w:ascii="Helvetica Neue" w:eastAsia="Helvetica Neue" w:hAnsi="Helvetica Neue" w:cs="Helvetica Neue"/>
          <w:color w:val="000000"/>
          <w:sz w:val="22"/>
          <w:szCs w:val="22"/>
        </w:rPr>
        <w:t xml:space="preserve">, K., Harris, A., &amp; Hopkins, D. (2019). Seven strong claims about successful school leadership revisited. </w:t>
      </w:r>
      <w:r>
        <w:rPr>
          <w:rFonts w:ascii="Helvetica Neue" w:eastAsia="Helvetica Neue" w:hAnsi="Helvetica Neue" w:cs="Helvetica Neue"/>
          <w:i/>
          <w:color w:val="000000"/>
          <w:sz w:val="22"/>
          <w:szCs w:val="22"/>
        </w:rPr>
        <w:t>School Leadership and Management, 40</w:t>
      </w:r>
      <w:r>
        <w:rPr>
          <w:rFonts w:ascii="Helvetica Neue" w:eastAsia="Helvetica Neue" w:hAnsi="Helvetica Neue" w:cs="Helvetica Neue"/>
          <w:color w:val="000000"/>
          <w:sz w:val="22"/>
          <w:szCs w:val="22"/>
        </w:rPr>
        <w:t xml:space="preserve">(1), 5-22. https://doi.org/10.1080/13632434.2019.1596077 </w:t>
      </w:r>
    </w:p>
    <w:p w14:paraId="0000003A"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proofErr w:type="spellStart"/>
      <w:r>
        <w:rPr>
          <w:rFonts w:ascii="Helvetica Neue" w:eastAsia="Helvetica Neue" w:hAnsi="Helvetica Neue" w:cs="Helvetica Neue"/>
          <w:color w:val="000000"/>
          <w:sz w:val="22"/>
          <w:szCs w:val="22"/>
        </w:rPr>
        <w:t>Organisation</w:t>
      </w:r>
      <w:proofErr w:type="spellEnd"/>
      <w:r>
        <w:rPr>
          <w:rFonts w:ascii="Helvetica Neue" w:eastAsia="Helvetica Neue" w:hAnsi="Helvetica Neue" w:cs="Helvetica Neue"/>
          <w:color w:val="000000"/>
          <w:sz w:val="22"/>
          <w:szCs w:val="22"/>
        </w:rPr>
        <w:t xml:space="preserve"> for Economic Co-operation and Development. (2017). </w:t>
      </w:r>
      <w:r>
        <w:rPr>
          <w:rFonts w:ascii="Helvetica Neue" w:eastAsia="Helvetica Neue" w:hAnsi="Helvetica Neue" w:cs="Helvetica Neue"/>
          <w:i/>
          <w:color w:val="000000"/>
          <w:sz w:val="22"/>
          <w:szCs w:val="22"/>
        </w:rPr>
        <w:t>PISA 2015 results (Volume V): Collaborative problem solving</w:t>
      </w:r>
      <w:r>
        <w:rPr>
          <w:rFonts w:ascii="Helvetica Neue" w:eastAsia="Helvetica Neue" w:hAnsi="Helvetica Neue" w:cs="Helvetica Neue"/>
          <w:color w:val="000000"/>
          <w:sz w:val="22"/>
          <w:szCs w:val="22"/>
        </w:rPr>
        <w:t xml:space="preserve">, OECD Publishing. </w:t>
      </w:r>
      <w:hyperlink r:id="rId12">
        <w:r>
          <w:rPr>
            <w:rFonts w:ascii="Helvetica Neue" w:eastAsia="Helvetica Neue" w:hAnsi="Helvetica Neue" w:cs="Helvetica Neue"/>
            <w:color w:val="000000"/>
            <w:sz w:val="22"/>
            <w:szCs w:val="22"/>
            <w:u w:val="single"/>
          </w:rPr>
          <w:t>http://dx.doi.org/10.1787/9789264285521-en</w:t>
        </w:r>
      </w:hyperlink>
    </w:p>
    <w:p w14:paraId="0000003B"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Robinson, K. (2015). </w:t>
      </w:r>
      <w:r>
        <w:rPr>
          <w:rFonts w:ascii="Helvetica Neue" w:eastAsia="Helvetica Neue" w:hAnsi="Helvetica Neue" w:cs="Helvetica Neue"/>
          <w:i/>
          <w:color w:val="000000"/>
          <w:sz w:val="22"/>
          <w:szCs w:val="22"/>
        </w:rPr>
        <w:t>Creative schools</w:t>
      </w:r>
      <w:r>
        <w:rPr>
          <w:rFonts w:ascii="Helvetica Neue" w:eastAsia="Helvetica Neue" w:hAnsi="Helvetica Neue" w:cs="Helvetica Neue"/>
          <w:color w:val="000000"/>
          <w:sz w:val="22"/>
          <w:szCs w:val="22"/>
        </w:rPr>
        <w:t>. Allen Lane.</w:t>
      </w:r>
    </w:p>
    <w:p w14:paraId="0000003C"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Robinson, K. (2018). </w:t>
      </w:r>
      <w:r>
        <w:rPr>
          <w:rFonts w:ascii="Helvetica Neue" w:eastAsia="Helvetica Neue" w:hAnsi="Helvetica Neue" w:cs="Helvetica Neue"/>
          <w:i/>
          <w:color w:val="000000"/>
          <w:sz w:val="22"/>
          <w:szCs w:val="22"/>
        </w:rPr>
        <w:t>You, your child and school</w:t>
      </w:r>
      <w:r>
        <w:rPr>
          <w:rFonts w:ascii="Helvetica Neue" w:eastAsia="Helvetica Neue" w:hAnsi="Helvetica Neue" w:cs="Helvetica Neue"/>
          <w:color w:val="000000"/>
          <w:sz w:val="22"/>
          <w:szCs w:val="22"/>
        </w:rPr>
        <w:t xml:space="preserve">. Viking. </w:t>
      </w:r>
    </w:p>
    <w:p w14:paraId="0000003D"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Schott, C., van Roekel, H., &amp; </w:t>
      </w:r>
      <w:proofErr w:type="spellStart"/>
      <w:r>
        <w:rPr>
          <w:rFonts w:ascii="Helvetica Neue" w:eastAsia="Helvetica Neue" w:hAnsi="Helvetica Neue" w:cs="Helvetica Neue"/>
          <w:color w:val="000000"/>
          <w:sz w:val="22"/>
          <w:szCs w:val="22"/>
        </w:rPr>
        <w:t>Tummers</w:t>
      </w:r>
      <w:proofErr w:type="spellEnd"/>
      <w:r>
        <w:rPr>
          <w:rFonts w:ascii="Helvetica Neue" w:eastAsia="Helvetica Neue" w:hAnsi="Helvetica Neue" w:cs="Helvetica Neue"/>
          <w:color w:val="000000"/>
          <w:sz w:val="22"/>
          <w:szCs w:val="22"/>
        </w:rPr>
        <w:t xml:space="preserve">, L. (2020). Teacher leadership: A systematic review, methodological quality assessment and conceptual framework. </w:t>
      </w:r>
      <w:r>
        <w:rPr>
          <w:rFonts w:ascii="Helvetica Neue" w:eastAsia="Helvetica Neue" w:hAnsi="Helvetica Neue" w:cs="Helvetica Neue"/>
          <w:i/>
          <w:color w:val="000000"/>
          <w:sz w:val="22"/>
          <w:szCs w:val="22"/>
        </w:rPr>
        <w:t>Educational Research Review 31</w:t>
      </w:r>
      <w:r>
        <w:rPr>
          <w:rFonts w:ascii="Helvetica Neue" w:eastAsia="Helvetica Neue" w:hAnsi="Helvetica Neue" w:cs="Helvetica Neue"/>
          <w:color w:val="000000"/>
          <w:sz w:val="22"/>
          <w:szCs w:val="22"/>
        </w:rPr>
        <w:t>(3). 100352. https://doi.org/10.1016/j.edurev.2020.100352</w:t>
      </w:r>
    </w:p>
    <w:p w14:paraId="0000003E"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Stadler-Heer, S. (2019). Inclusion. </w:t>
      </w:r>
      <w:r>
        <w:rPr>
          <w:rFonts w:ascii="Helvetica Neue" w:eastAsia="Helvetica Neue" w:hAnsi="Helvetica Neue" w:cs="Helvetica Neue"/>
          <w:i/>
          <w:color w:val="000000"/>
          <w:sz w:val="22"/>
          <w:szCs w:val="22"/>
        </w:rPr>
        <w:t>ELT Journal, 73</w:t>
      </w:r>
      <w:r>
        <w:rPr>
          <w:rFonts w:ascii="Helvetica Neue" w:eastAsia="Helvetica Neue" w:hAnsi="Helvetica Neue" w:cs="Helvetica Neue"/>
          <w:color w:val="000000"/>
          <w:sz w:val="22"/>
          <w:szCs w:val="22"/>
        </w:rPr>
        <w:t>(2), 219-222.</w:t>
      </w:r>
    </w:p>
    <w:p w14:paraId="0000003F"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lastRenderedPageBreak/>
        <w:t xml:space="preserve">Webber, C. F. (2023). Teacher leaders: profiles of difference and conviction. </w:t>
      </w:r>
      <w:r>
        <w:rPr>
          <w:rFonts w:ascii="Helvetica Neue" w:eastAsia="Helvetica Neue" w:hAnsi="Helvetica Neue" w:cs="Helvetica Neue"/>
          <w:i/>
          <w:color w:val="000000"/>
          <w:sz w:val="22"/>
          <w:szCs w:val="22"/>
        </w:rPr>
        <w:t>Leading and Managing, 29</w:t>
      </w:r>
      <w:r>
        <w:rPr>
          <w:rFonts w:ascii="Helvetica Neue" w:eastAsia="Helvetica Neue" w:hAnsi="Helvetica Neue" w:cs="Helvetica Neue"/>
          <w:color w:val="000000"/>
          <w:sz w:val="22"/>
          <w:szCs w:val="22"/>
        </w:rPr>
        <w:t xml:space="preserve">(1), 84-93. </w:t>
      </w:r>
      <w:hyperlink r:id="rId13">
        <w:r>
          <w:rPr>
            <w:rFonts w:ascii="Helvetica Neue" w:eastAsia="Helvetica Neue" w:hAnsi="Helvetica Neue" w:cs="Helvetica Neue"/>
            <w:color w:val="000000"/>
            <w:sz w:val="22"/>
            <w:szCs w:val="22"/>
            <w:u w:val="single"/>
          </w:rPr>
          <w:t>https://www.acel.org.au/ACELWEB/Publications/Leading_and_Managing/2023/LM_29_1.aspx</w:t>
        </w:r>
      </w:hyperlink>
    </w:p>
    <w:p w14:paraId="00000040" w14:textId="77777777" w:rsidR="00F666A6" w:rsidRDefault="00BF2C65">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UNESCO (2017). </w:t>
      </w:r>
      <w:r>
        <w:rPr>
          <w:rFonts w:ascii="Helvetica Neue" w:eastAsia="Helvetica Neue" w:hAnsi="Helvetica Neue" w:cs="Helvetica Neue"/>
          <w:i/>
          <w:color w:val="000000"/>
          <w:sz w:val="22"/>
          <w:szCs w:val="22"/>
        </w:rPr>
        <w:t xml:space="preserve">A guide for ensuring inclusion and equity in education. </w:t>
      </w:r>
      <w:r>
        <w:rPr>
          <w:rFonts w:ascii="Helvetica Neue" w:eastAsia="Helvetica Neue" w:hAnsi="Helvetica Neue" w:cs="Helvetica Neue"/>
          <w:color w:val="000000"/>
          <w:sz w:val="22"/>
          <w:szCs w:val="22"/>
        </w:rPr>
        <w:t>UNESCO.</w:t>
      </w:r>
    </w:p>
    <w:p w14:paraId="6E55BC2C" w14:textId="5393B185" w:rsidR="007B5EBB" w:rsidRDefault="00BF2C65" w:rsidP="00D438A7">
      <w:pPr>
        <w:pBdr>
          <w:top w:val="nil"/>
          <w:left w:val="nil"/>
          <w:bottom w:val="nil"/>
          <w:right w:val="nil"/>
          <w:between w:val="nil"/>
        </w:pBdr>
        <w:spacing w:line="312" w:lineRule="auto"/>
        <w:ind w:left="720" w:hanging="72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 xml:space="preserve">York-Barr, J., &amp; Duke, K. (2004). What do we know about teacher leadership? Findings from two decades of scholarship. </w:t>
      </w:r>
      <w:r>
        <w:rPr>
          <w:rFonts w:ascii="Helvetica Neue" w:eastAsia="Helvetica Neue" w:hAnsi="Helvetica Neue" w:cs="Helvetica Neue"/>
          <w:i/>
          <w:color w:val="000000"/>
          <w:sz w:val="22"/>
          <w:szCs w:val="22"/>
        </w:rPr>
        <w:t>Review of Educational Research, 74</w:t>
      </w:r>
      <w:r>
        <w:rPr>
          <w:rFonts w:ascii="Helvetica Neue" w:eastAsia="Helvetica Neue" w:hAnsi="Helvetica Neue" w:cs="Helvetica Neue"/>
          <w:color w:val="000000"/>
          <w:sz w:val="22"/>
          <w:szCs w:val="22"/>
        </w:rPr>
        <w:t>(3), 255-316. https://doi.org/10.3102/0034654307 4003255</w:t>
      </w:r>
    </w:p>
    <w:p w14:paraId="68E0C7FC" w14:textId="77777777" w:rsidR="00FF7B3A" w:rsidRDefault="00FF7B3A" w:rsidP="00FF7B3A">
      <w:pPr>
        <w:pBdr>
          <w:top w:val="nil"/>
          <w:left w:val="nil"/>
          <w:bottom w:val="nil"/>
          <w:right w:val="nil"/>
          <w:between w:val="nil"/>
        </w:pBdr>
        <w:spacing w:line="312" w:lineRule="auto"/>
        <w:ind w:left="720" w:hanging="720"/>
        <w:rPr>
          <w:rFonts w:ascii="Helvetica Neue" w:eastAsia="Helvetica Neue" w:hAnsi="Helvetica Neue" w:cs="Helvetica Neue"/>
          <w:b/>
          <w:bCs/>
          <w:color w:val="000000"/>
          <w:sz w:val="22"/>
          <w:szCs w:val="22"/>
          <w:lang w:val="en-GB"/>
        </w:rPr>
      </w:pPr>
    </w:p>
    <w:p w14:paraId="08BDFAA0" w14:textId="77777777" w:rsidR="009E249B" w:rsidRDefault="009E249B" w:rsidP="009E249B">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7B448238" w14:textId="77777777" w:rsidR="009E249B" w:rsidRDefault="009E249B" w:rsidP="009E249B">
      <w:pPr>
        <w:rPr>
          <w:b/>
        </w:rPr>
      </w:pPr>
    </w:p>
    <w:p w14:paraId="0E44A418" w14:textId="77777777" w:rsidR="009E249B" w:rsidRPr="00FF69C7" w:rsidRDefault="009E249B" w:rsidP="009E249B">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19D30110" w14:textId="77777777" w:rsidR="009E249B" w:rsidRPr="009E249B" w:rsidRDefault="009E249B" w:rsidP="00FF7B3A">
      <w:pPr>
        <w:pBdr>
          <w:top w:val="nil"/>
          <w:left w:val="nil"/>
          <w:bottom w:val="nil"/>
          <w:right w:val="nil"/>
          <w:between w:val="nil"/>
        </w:pBdr>
        <w:spacing w:line="312" w:lineRule="auto"/>
        <w:ind w:left="720" w:hanging="720"/>
        <w:rPr>
          <w:rFonts w:ascii="Helvetica Neue" w:eastAsia="Helvetica Neue" w:hAnsi="Helvetica Neue" w:cs="Helvetica Neue"/>
          <w:b/>
          <w:bCs/>
          <w:color w:val="000000"/>
          <w:sz w:val="22"/>
          <w:szCs w:val="22"/>
        </w:rPr>
      </w:pPr>
    </w:p>
    <w:sectPr w:rsidR="009E249B" w:rsidRPr="009E249B">
      <w:headerReference w:type="default" r:id="rId14"/>
      <w:footerReference w:type="default" r:id="rId15"/>
      <w:pgSz w:w="11906" w:h="16838"/>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9CF9DE" w14:textId="77777777" w:rsidR="003E65B1" w:rsidRDefault="003E65B1">
      <w:r>
        <w:separator/>
      </w:r>
    </w:p>
  </w:endnote>
  <w:endnote w:type="continuationSeparator" w:id="0">
    <w:p w14:paraId="131D06E1" w14:textId="77777777" w:rsidR="003E65B1" w:rsidRDefault="003E6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altName w:val="Arial"/>
    <w:panose1 w:val="020B0604020202020204"/>
    <w:charset w:val="00"/>
    <w:family w:val="auto"/>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3" w14:textId="77777777" w:rsidR="00F666A6" w:rsidRDefault="00F666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9EE394" w14:textId="77777777" w:rsidR="003E65B1" w:rsidRDefault="003E65B1">
      <w:r>
        <w:separator/>
      </w:r>
    </w:p>
  </w:footnote>
  <w:footnote w:type="continuationSeparator" w:id="0">
    <w:p w14:paraId="4871375F" w14:textId="77777777" w:rsidR="003E65B1" w:rsidRDefault="003E65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2" w14:textId="77777777" w:rsidR="00F666A6" w:rsidRDefault="00F666A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6A6"/>
    <w:rsid w:val="000A12E4"/>
    <w:rsid w:val="00121E62"/>
    <w:rsid w:val="001A358E"/>
    <w:rsid w:val="002C0751"/>
    <w:rsid w:val="003072C4"/>
    <w:rsid w:val="00334B22"/>
    <w:rsid w:val="003D6DAF"/>
    <w:rsid w:val="003E65B1"/>
    <w:rsid w:val="003F1DA8"/>
    <w:rsid w:val="005114A6"/>
    <w:rsid w:val="007266B1"/>
    <w:rsid w:val="007678F5"/>
    <w:rsid w:val="007B5EBB"/>
    <w:rsid w:val="00826D1C"/>
    <w:rsid w:val="00864F17"/>
    <w:rsid w:val="00865D9D"/>
    <w:rsid w:val="00903D45"/>
    <w:rsid w:val="0093182E"/>
    <w:rsid w:val="009E249B"/>
    <w:rsid w:val="00AA6A87"/>
    <w:rsid w:val="00B21DC8"/>
    <w:rsid w:val="00B532B9"/>
    <w:rsid w:val="00B81D13"/>
    <w:rsid w:val="00BF2C65"/>
    <w:rsid w:val="00C22D93"/>
    <w:rsid w:val="00D438A7"/>
    <w:rsid w:val="00F666A6"/>
    <w:rsid w:val="00FF7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53BB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lang w:eastAsia="en-US"/>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rPr>
      <w:u w:val="single"/>
    </w:rPr>
  </w:style>
  <w:style w:type="paragraph" w:customStyle="1" w:styleId="Body">
    <w:name w:val="Body"/>
    <w:rPr>
      <w:rFonts w:ascii="Helvetica Neue" w:eastAsia="Arial Unicode MS" w:hAnsi="Helvetica Neue" w:cs="Arial Unicode MS"/>
      <w:color w:val="000000"/>
      <w:sz w:val="22"/>
      <w:szCs w:val="22"/>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9E249B"/>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432905">
      <w:bodyDiv w:val="1"/>
      <w:marLeft w:val="0"/>
      <w:marRight w:val="0"/>
      <w:marTop w:val="0"/>
      <w:marBottom w:val="0"/>
      <w:divBdr>
        <w:top w:val="none" w:sz="0" w:space="0" w:color="auto"/>
        <w:left w:val="none" w:sz="0" w:space="0" w:color="auto"/>
        <w:bottom w:val="none" w:sz="0" w:space="0" w:color="auto"/>
        <w:right w:val="none" w:sz="0" w:space="0" w:color="auto"/>
      </w:divBdr>
    </w:div>
    <w:div w:id="1689718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cel.org.au/ACELWEB/Publications/Leading_and_Managing/2023/LM_29_1.aspx"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dx.doi.org/10.1787/9789264285521-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oe.int/lang-cef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0mL0KeIdCKmT2QAJ+D15KL7HbA==">CgMxLjA4AHIhMUxVbkNkMEZtV0pFVHFqTl83S2w0V0x6Wl9POG9IYXho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Hanna Kryszewska</cp:lastModifiedBy>
  <cp:revision>2</cp:revision>
  <dcterms:created xsi:type="dcterms:W3CDTF">2024-05-16T17:07:00Z</dcterms:created>
  <dcterms:modified xsi:type="dcterms:W3CDTF">2024-05-16T17:07:00Z</dcterms:modified>
</cp:coreProperties>
</file>