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852A2" w14:textId="77777777" w:rsidR="009B487B" w:rsidRDefault="00000000">
      <w:pPr>
        <w:jc w:val="both"/>
        <w:rPr>
          <w:b/>
          <w:sz w:val="28"/>
          <w:szCs w:val="28"/>
        </w:rPr>
      </w:pPr>
      <w:bookmarkStart w:id="0" w:name="_heading=h.gjdgxs" w:colFirst="0" w:colLast="0"/>
      <w:bookmarkEnd w:id="0"/>
      <w:r>
        <w:rPr>
          <w:b/>
          <w:sz w:val="28"/>
          <w:szCs w:val="28"/>
        </w:rPr>
        <w:t xml:space="preserve">An Investigation of Cultural Elements in Reading and Writing Texts in a Local English Language Coursebook for Use at Turkish Secondary Schools </w:t>
      </w:r>
    </w:p>
    <w:p w14:paraId="70D6D136" w14:textId="77777777" w:rsidR="009B487B" w:rsidRDefault="009B487B">
      <w:pPr>
        <w:rPr>
          <w:b/>
          <w:sz w:val="24"/>
          <w:szCs w:val="24"/>
        </w:rPr>
      </w:pPr>
    </w:p>
    <w:p w14:paraId="7C2505F1" w14:textId="77777777" w:rsidR="009B487B" w:rsidRDefault="00000000">
      <w:pPr>
        <w:rPr>
          <w:b/>
          <w:sz w:val="24"/>
          <w:szCs w:val="24"/>
        </w:rPr>
      </w:pPr>
      <w:r>
        <w:rPr>
          <w:b/>
          <w:sz w:val="24"/>
          <w:szCs w:val="24"/>
        </w:rPr>
        <w:t>Ayşe Yılmaz, Türkiye</w:t>
      </w:r>
    </w:p>
    <w:p w14:paraId="3361DC2C" w14:textId="77777777" w:rsidR="009B487B" w:rsidRDefault="009B487B">
      <w:pPr>
        <w:rPr>
          <w:b/>
          <w:sz w:val="24"/>
          <w:szCs w:val="24"/>
        </w:rPr>
      </w:pPr>
    </w:p>
    <w:p w14:paraId="4C4853EF" w14:textId="77777777" w:rsidR="009B487B" w:rsidRDefault="00000000">
      <w:pPr>
        <w:rPr>
          <w:sz w:val="24"/>
          <w:szCs w:val="24"/>
        </w:rPr>
      </w:pPr>
      <w:r>
        <w:rPr>
          <w:sz w:val="24"/>
          <w:szCs w:val="24"/>
        </w:rPr>
        <w:t xml:space="preserve">Ayşe Yılmaz is an undergraduate student in the ELT Department at </w:t>
      </w:r>
      <w:proofErr w:type="spellStart"/>
      <w:r>
        <w:rPr>
          <w:sz w:val="24"/>
          <w:szCs w:val="24"/>
        </w:rPr>
        <w:t>Kahramanmaraş</w:t>
      </w:r>
      <w:proofErr w:type="spellEnd"/>
      <w:r>
        <w:rPr>
          <w:sz w:val="24"/>
          <w:szCs w:val="24"/>
        </w:rPr>
        <w:t xml:space="preserve"> </w:t>
      </w:r>
      <w:proofErr w:type="spellStart"/>
      <w:r>
        <w:rPr>
          <w:sz w:val="24"/>
          <w:szCs w:val="24"/>
        </w:rPr>
        <w:t>Sütçü</w:t>
      </w:r>
      <w:proofErr w:type="spellEnd"/>
      <w:r>
        <w:rPr>
          <w:sz w:val="24"/>
          <w:szCs w:val="24"/>
        </w:rPr>
        <w:t xml:space="preserve"> İmam University, Türkiye. She has recently taken part in various projects both related to and outside her department. She is interested in research, writing, qualitative research, and designing engaging materials using technology and considers becoming a researcher. Email: </w:t>
      </w:r>
      <w:hyperlink r:id="rId6">
        <w:r>
          <w:rPr>
            <w:sz w:val="24"/>
            <w:szCs w:val="24"/>
          </w:rPr>
          <w:t>aysegulyilmaz271@gmail.com</w:t>
        </w:r>
      </w:hyperlink>
    </w:p>
    <w:p w14:paraId="0DC8CA66" w14:textId="77777777" w:rsidR="009B487B" w:rsidRDefault="009B487B">
      <w:pPr>
        <w:rPr>
          <w:b/>
          <w:sz w:val="24"/>
          <w:szCs w:val="24"/>
        </w:rPr>
      </w:pPr>
    </w:p>
    <w:p w14:paraId="6B0964F9" w14:textId="77777777" w:rsidR="009B487B" w:rsidRDefault="00000000">
      <w:pPr>
        <w:rPr>
          <w:b/>
          <w:sz w:val="24"/>
          <w:szCs w:val="24"/>
        </w:rPr>
      </w:pPr>
      <w:r>
        <w:rPr>
          <w:b/>
          <w:sz w:val="24"/>
          <w:szCs w:val="24"/>
        </w:rPr>
        <w:t>Abstract</w:t>
      </w:r>
    </w:p>
    <w:p w14:paraId="62738DF4" w14:textId="77777777" w:rsidR="009B487B" w:rsidRDefault="009B487B">
      <w:pPr>
        <w:rPr>
          <w:b/>
          <w:sz w:val="24"/>
          <w:szCs w:val="24"/>
        </w:rPr>
      </w:pPr>
    </w:p>
    <w:p w14:paraId="0619C042" w14:textId="77777777" w:rsidR="009B487B" w:rsidRDefault="00000000">
      <w:pPr>
        <w:rPr>
          <w:sz w:val="24"/>
          <w:szCs w:val="24"/>
        </w:rPr>
      </w:pPr>
      <w:r>
        <w:rPr>
          <w:sz w:val="24"/>
          <w:szCs w:val="24"/>
        </w:rPr>
        <w:t>There is a consensus that language and culture are inseparable and should be integrated into foreign language teaching materials. This study aims to examine culture representations in a local EFL coursebook for use at Turkish middle schools. Examining people, places and practices, and objects, cultural elements identified were coded as belonging to the source culture (i.e., Turkish), the target culture (i.e., cultures with English as the predominant language), international target cultures (others than the source or target culture) and no reference to any cultural context. The findings revealed that representations with reference to the source culture dominate. Also, there were differences in distributions depending on the element examined. Conclusions for material design in ELT are drawn.</w:t>
      </w:r>
    </w:p>
    <w:p w14:paraId="24F145B2" w14:textId="77777777" w:rsidR="009B487B" w:rsidRDefault="009B487B">
      <w:pPr>
        <w:rPr>
          <w:b/>
          <w:sz w:val="24"/>
          <w:szCs w:val="24"/>
        </w:rPr>
      </w:pPr>
    </w:p>
    <w:p w14:paraId="570B8D76" w14:textId="77777777" w:rsidR="009B487B" w:rsidRDefault="009B487B">
      <w:pPr>
        <w:rPr>
          <w:sz w:val="24"/>
          <w:szCs w:val="24"/>
        </w:rPr>
      </w:pPr>
    </w:p>
    <w:p w14:paraId="713ED2DD" w14:textId="77777777" w:rsidR="009B487B" w:rsidRDefault="00000000">
      <w:pPr>
        <w:rPr>
          <w:sz w:val="24"/>
          <w:szCs w:val="24"/>
        </w:rPr>
      </w:pPr>
      <w:r>
        <w:rPr>
          <w:b/>
          <w:sz w:val="24"/>
          <w:szCs w:val="24"/>
        </w:rPr>
        <w:t>Introduction</w:t>
      </w:r>
    </w:p>
    <w:p w14:paraId="122C50D0" w14:textId="77777777" w:rsidR="009B487B" w:rsidRDefault="009B487B">
      <w:pPr>
        <w:rPr>
          <w:b/>
        </w:rPr>
      </w:pPr>
    </w:p>
    <w:p w14:paraId="4924FE06" w14:textId="77777777" w:rsidR="009B487B" w:rsidRDefault="00000000">
      <w:pPr>
        <w:rPr>
          <w:sz w:val="24"/>
          <w:szCs w:val="24"/>
        </w:rPr>
      </w:pPr>
      <w:r>
        <w:rPr>
          <w:sz w:val="24"/>
          <w:szCs w:val="24"/>
        </w:rPr>
        <w:t xml:space="preserve">Culture is a term difficult to define entirely. Discussed by a great number of researchers from past to present, different definitions have been proposed. For instance, Tylor (1871), a British anthropologist, states that culture is the complex whole that includes knowledge, beliefs, art, morals, laws, customs and any other capabilities and habits acquired by man as a member of society. Hofstede (1991) has defined culture as the collective programming of the mind that distinguishes the members of one group or category of people from another. According to Johnson &amp; Brown (2020), culture is a shared structure formed by the accumulation of common knowledge, </w:t>
      </w:r>
      <w:proofErr w:type="spellStart"/>
      <w:r>
        <w:rPr>
          <w:sz w:val="24"/>
          <w:szCs w:val="24"/>
        </w:rPr>
        <w:t>behaviours</w:t>
      </w:r>
      <w:proofErr w:type="spellEnd"/>
      <w:r>
        <w:rPr>
          <w:sz w:val="24"/>
          <w:szCs w:val="24"/>
        </w:rPr>
        <w:t xml:space="preserve">, and symbols among individuals. Based on these various definitions, it is safe to say that culture is interwoven with language. </w:t>
      </w:r>
      <w:proofErr w:type="gramStart"/>
      <w:r>
        <w:rPr>
          <w:sz w:val="24"/>
          <w:szCs w:val="24"/>
        </w:rPr>
        <w:t>As a consequence</w:t>
      </w:r>
      <w:proofErr w:type="gramEnd"/>
      <w:r>
        <w:rPr>
          <w:sz w:val="24"/>
          <w:szCs w:val="24"/>
        </w:rPr>
        <w:t xml:space="preserve"> for language teaching, culture has to be a part of language teaching materials not only to enhance learners’ language awareness but also to develop their intercultural competence.</w:t>
      </w:r>
    </w:p>
    <w:p w14:paraId="2B320A71" w14:textId="77777777" w:rsidR="009B487B" w:rsidRDefault="009B487B">
      <w:pPr>
        <w:rPr>
          <w:sz w:val="24"/>
          <w:szCs w:val="24"/>
        </w:rPr>
      </w:pPr>
    </w:p>
    <w:p w14:paraId="39C757DC" w14:textId="77777777" w:rsidR="009B487B" w:rsidRDefault="00000000">
      <w:pPr>
        <w:rPr>
          <w:b/>
          <w:sz w:val="24"/>
          <w:szCs w:val="24"/>
        </w:rPr>
      </w:pPr>
      <w:r>
        <w:rPr>
          <w:sz w:val="24"/>
          <w:szCs w:val="24"/>
        </w:rPr>
        <w:t xml:space="preserve">One of the ways of teaching culture in language teaching is making it coursebook content. Undoubtedly, coursebooks play an important role in language teaching (Gül &amp; Sevim, 2021; Rathert &amp; </w:t>
      </w:r>
      <w:proofErr w:type="spellStart"/>
      <w:r>
        <w:rPr>
          <w:sz w:val="24"/>
          <w:szCs w:val="24"/>
        </w:rPr>
        <w:t>Cabaroğlu</w:t>
      </w:r>
      <w:proofErr w:type="spellEnd"/>
      <w:r>
        <w:rPr>
          <w:sz w:val="24"/>
          <w:szCs w:val="24"/>
        </w:rPr>
        <w:t xml:space="preserve">, 2022), and language teaching is delivered worldwide in public schools over local coursebooks. For this reason, coursebooks play an important role in the </w:t>
      </w:r>
      <w:proofErr w:type="spellStart"/>
      <w:r>
        <w:rPr>
          <w:sz w:val="24"/>
          <w:szCs w:val="24"/>
        </w:rPr>
        <w:t>familiarisation</w:t>
      </w:r>
      <w:proofErr w:type="spellEnd"/>
      <w:r>
        <w:rPr>
          <w:sz w:val="24"/>
          <w:szCs w:val="24"/>
        </w:rPr>
        <w:t xml:space="preserve"> of learners with cultural diversity, thereby developing their intercultural competence. Based on these considerations, this study attempts to examine the representation of cultural elements in a local coursebook used at Turkish upper-secondary schools.</w:t>
      </w:r>
    </w:p>
    <w:p w14:paraId="2F825F5A" w14:textId="77777777" w:rsidR="009B487B" w:rsidRDefault="009B487B">
      <w:pPr>
        <w:rPr>
          <w:b/>
        </w:rPr>
      </w:pPr>
    </w:p>
    <w:p w14:paraId="3790BDA9" w14:textId="77777777" w:rsidR="009B487B" w:rsidRDefault="00000000">
      <w:pPr>
        <w:rPr>
          <w:b/>
          <w:sz w:val="24"/>
          <w:szCs w:val="24"/>
        </w:rPr>
      </w:pPr>
      <w:r>
        <w:rPr>
          <w:b/>
          <w:sz w:val="24"/>
          <w:szCs w:val="24"/>
        </w:rPr>
        <w:t xml:space="preserve">Intercultural competence </w:t>
      </w:r>
    </w:p>
    <w:p w14:paraId="46C8DE8D" w14:textId="77777777" w:rsidR="009B487B" w:rsidRDefault="009B487B">
      <w:pPr>
        <w:rPr>
          <w:b/>
        </w:rPr>
      </w:pPr>
    </w:p>
    <w:p w14:paraId="230E9F1E" w14:textId="77777777" w:rsidR="009B487B" w:rsidRDefault="00000000">
      <w:pPr>
        <w:rPr>
          <w:sz w:val="24"/>
          <w:szCs w:val="24"/>
        </w:rPr>
      </w:pPr>
      <w:r>
        <w:rPr>
          <w:sz w:val="24"/>
          <w:szCs w:val="24"/>
        </w:rPr>
        <w:t xml:space="preserve">Intercultural competence is the capacity to effectively use language in a range of social contexts across cultures. It refers to the ability to communicate in one’s own language with </w:t>
      </w:r>
      <w:r>
        <w:rPr>
          <w:sz w:val="24"/>
          <w:szCs w:val="24"/>
        </w:rPr>
        <w:lastRenderedPageBreak/>
        <w:t xml:space="preserve">people from various cultural backgrounds (Byram, 2021). Byram’s intercultural competence model is </w:t>
      </w:r>
      <w:proofErr w:type="spellStart"/>
      <w:r>
        <w:rPr>
          <w:sz w:val="24"/>
          <w:szCs w:val="24"/>
        </w:rPr>
        <w:t>visualised</w:t>
      </w:r>
      <w:proofErr w:type="spellEnd"/>
      <w:r>
        <w:rPr>
          <w:sz w:val="24"/>
          <w:szCs w:val="24"/>
        </w:rPr>
        <w:t xml:space="preserve"> in Figure 1.</w:t>
      </w:r>
    </w:p>
    <w:p w14:paraId="02FAF7DA" w14:textId="77777777" w:rsidR="009B487B" w:rsidRDefault="009B487B">
      <w:pPr>
        <w:rPr>
          <w:sz w:val="24"/>
          <w:szCs w:val="24"/>
        </w:rPr>
      </w:pPr>
    </w:p>
    <w:p w14:paraId="71031147" w14:textId="77777777" w:rsidR="009B487B" w:rsidRDefault="009B487B">
      <w:pPr>
        <w:widowControl/>
        <w:pBdr>
          <w:top w:val="nil"/>
          <w:left w:val="nil"/>
          <w:bottom w:val="nil"/>
          <w:right w:val="nil"/>
          <w:between w:val="nil"/>
        </w:pBdr>
        <w:ind w:left="360"/>
        <w:rPr>
          <w:b/>
          <w:color w:val="000000"/>
          <w:sz w:val="24"/>
          <w:szCs w:val="24"/>
        </w:rPr>
      </w:pPr>
    </w:p>
    <w:p w14:paraId="1DBABBA5" w14:textId="77777777" w:rsidR="009B487B" w:rsidRDefault="00000000">
      <w:pPr>
        <w:widowControl/>
        <w:pBdr>
          <w:top w:val="nil"/>
          <w:left w:val="nil"/>
          <w:bottom w:val="nil"/>
          <w:right w:val="nil"/>
          <w:between w:val="nil"/>
        </w:pBdr>
        <w:tabs>
          <w:tab w:val="left" w:pos="5796"/>
          <w:tab w:val="left" w:pos="6012"/>
        </w:tabs>
        <w:ind w:left="360"/>
        <w:rPr>
          <w:color w:val="000000"/>
          <w:sz w:val="24"/>
          <w:szCs w:val="24"/>
        </w:rPr>
      </w:pPr>
      <w:r>
        <w:rPr>
          <w:b/>
          <w:color w:val="000000"/>
          <w:sz w:val="24"/>
          <w:szCs w:val="24"/>
        </w:rPr>
        <w:tab/>
      </w:r>
      <w:r>
        <w:rPr>
          <w:color w:val="000000"/>
          <w:sz w:val="24"/>
          <w:szCs w:val="24"/>
        </w:rPr>
        <w:t>attitudes</w:t>
      </w:r>
      <w:r>
        <w:rPr>
          <w:b/>
          <w:color w:val="000000"/>
          <w:sz w:val="24"/>
          <w:szCs w:val="24"/>
        </w:rPr>
        <w:tab/>
      </w:r>
      <w:r>
        <w:rPr>
          <w:noProof/>
        </w:rPr>
        <mc:AlternateContent>
          <mc:Choice Requires="wpg">
            <w:drawing>
              <wp:anchor distT="0" distB="0" distL="114300" distR="114300" simplePos="0" relativeHeight="251658240" behindDoc="0" locked="0" layoutInCell="1" hidden="0" allowOverlap="1" wp14:anchorId="6BB6CACC" wp14:editId="5E8EED91">
                <wp:simplePos x="0" y="0"/>
                <wp:positionH relativeFrom="column">
                  <wp:posOffset>12701</wp:posOffset>
                </wp:positionH>
                <wp:positionV relativeFrom="paragraph">
                  <wp:posOffset>25400</wp:posOffset>
                </wp:positionV>
                <wp:extent cx="2255520" cy="1958340"/>
                <wp:effectExtent l="0" t="0" r="0" b="0"/>
                <wp:wrapNone/>
                <wp:docPr id="2093995316" name="Oval 2093995316"/>
                <wp:cNvGraphicFramePr/>
                <a:graphic xmlns:a="http://schemas.openxmlformats.org/drawingml/2006/main">
                  <a:graphicData uri="http://schemas.microsoft.com/office/word/2010/wordprocessingShape">
                    <wps:wsp>
                      <wps:cNvSpPr/>
                      <wps:spPr>
                        <a:xfrm>
                          <a:off x="4237290" y="2819880"/>
                          <a:ext cx="2217420" cy="1920240"/>
                        </a:xfrm>
                        <a:prstGeom prst="ellipse">
                          <a:avLst/>
                        </a:prstGeom>
                        <a:solidFill>
                          <a:schemeClr val="lt2"/>
                        </a:solidFill>
                        <a:ln w="19050" cap="flat" cmpd="sng">
                          <a:solidFill>
                            <a:schemeClr val="lt1"/>
                          </a:solidFill>
                          <a:prstDash val="solid"/>
                          <a:miter lim="800000"/>
                          <a:headEnd type="none" w="sm" len="sm"/>
                          <a:tailEnd type="none" w="sm" len="sm"/>
                        </a:ln>
                      </wps:spPr>
                      <wps:txbx>
                        <w:txbxContent>
                          <w:p w14:paraId="29209ED6" w14:textId="77777777" w:rsidR="009B487B" w:rsidRDefault="009B487B">
                            <w:pPr>
                              <w:spacing w:line="360" w:lineRule="auto"/>
                              <w:jc w:val="center"/>
                              <w:textDirection w:val="btLr"/>
                            </w:pPr>
                          </w:p>
                          <w:p w14:paraId="637A3BED" w14:textId="77777777" w:rsidR="009B487B" w:rsidRDefault="00000000">
                            <w:pPr>
                              <w:spacing w:line="360" w:lineRule="auto"/>
                              <w:jc w:val="center"/>
                              <w:textDirection w:val="btLr"/>
                            </w:pPr>
                            <w:r>
                              <w:rPr>
                                <w:color w:val="000000"/>
                                <w:sz w:val="24"/>
                              </w:rPr>
                              <w:t>INTERCULTURAL COMPETENCE</w:t>
                            </w:r>
                          </w:p>
                          <w:p w14:paraId="6359D82D" w14:textId="77777777" w:rsidR="009B487B" w:rsidRDefault="00000000">
                            <w:pPr>
                              <w:spacing w:line="360" w:lineRule="auto"/>
                              <w:jc w:val="center"/>
                              <w:textDirection w:val="btLr"/>
                            </w:pPr>
                            <w:r>
                              <w:rPr>
                                <w:color w:val="000000"/>
                                <w:sz w:val="24"/>
                              </w:rPr>
                              <w:t>(IC)</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25400</wp:posOffset>
                </wp:positionV>
                <wp:extent cx="2255520" cy="1958340"/>
                <wp:effectExtent b="0" l="0" r="0" t="0"/>
                <wp:wrapNone/>
                <wp:docPr id="209399531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255520" cy="19583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2C3CBE73" wp14:editId="31631566">
                <wp:simplePos x="0" y="0"/>
                <wp:positionH relativeFrom="column">
                  <wp:posOffset>1130300</wp:posOffset>
                </wp:positionH>
                <wp:positionV relativeFrom="paragraph">
                  <wp:posOffset>38100</wp:posOffset>
                </wp:positionV>
                <wp:extent cx="2390775" cy="74294"/>
                <wp:effectExtent l="0" t="0" r="0" b="0"/>
                <wp:wrapNone/>
                <wp:docPr id="2093995314" name="Straight Arrow Connector 2093995314"/>
                <wp:cNvGraphicFramePr/>
                <a:graphic xmlns:a="http://schemas.openxmlformats.org/drawingml/2006/main">
                  <a:graphicData uri="http://schemas.microsoft.com/office/word/2010/wordprocessingShape">
                    <wps:wsp>
                      <wps:cNvCnPr/>
                      <wps:spPr>
                        <a:xfrm>
                          <a:off x="4164900" y="3757141"/>
                          <a:ext cx="2362200" cy="45719"/>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1130300</wp:posOffset>
                </wp:positionH>
                <wp:positionV relativeFrom="paragraph">
                  <wp:posOffset>38100</wp:posOffset>
                </wp:positionV>
                <wp:extent cx="2390775" cy="74294"/>
                <wp:effectExtent b="0" l="0" r="0" t="0"/>
                <wp:wrapNone/>
                <wp:docPr id="2093995314"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2390775" cy="74294"/>
                        </a:xfrm>
                        <a:prstGeom prst="rect"/>
                        <a:ln/>
                      </pic:spPr>
                    </pic:pic>
                  </a:graphicData>
                </a:graphic>
              </wp:anchor>
            </w:drawing>
          </mc:Fallback>
        </mc:AlternateContent>
      </w:r>
    </w:p>
    <w:p w14:paraId="1FBD743F" w14:textId="77777777" w:rsidR="009B487B" w:rsidRDefault="009B487B">
      <w:pPr>
        <w:widowControl/>
        <w:pBdr>
          <w:top w:val="nil"/>
          <w:left w:val="nil"/>
          <w:bottom w:val="nil"/>
          <w:right w:val="nil"/>
          <w:between w:val="nil"/>
        </w:pBdr>
        <w:ind w:left="360"/>
        <w:rPr>
          <w:b/>
          <w:color w:val="000000"/>
          <w:sz w:val="24"/>
          <w:szCs w:val="24"/>
        </w:rPr>
      </w:pPr>
    </w:p>
    <w:p w14:paraId="42215D6B" w14:textId="77777777" w:rsidR="009B487B" w:rsidRDefault="009B487B">
      <w:pPr>
        <w:widowControl/>
        <w:pBdr>
          <w:top w:val="nil"/>
          <w:left w:val="nil"/>
          <w:bottom w:val="nil"/>
          <w:right w:val="nil"/>
          <w:between w:val="nil"/>
        </w:pBdr>
        <w:ind w:left="360"/>
        <w:rPr>
          <w:b/>
          <w:color w:val="000000"/>
          <w:sz w:val="24"/>
          <w:szCs w:val="24"/>
        </w:rPr>
      </w:pPr>
    </w:p>
    <w:p w14:paraId="1509A51F" w14:textId="77777777" w:rsidR="009B487B" w:rsidRDefault="00000000">
      <w:pPr>
        <w:widowControl/>
        <w:pBdr>
          <w:top w:val="nil"/>
          <w:left w:val="nil"/>
          <w:bottom w:val="nil"/>
          <w:right w:val="nil"/>
          <w:between w:val="nil"/>
        </w:pBdr>
        <w:tabs>
          <w:tab w:val="left" w:pos="5784"/>
          <w:tab w:val="left" w:pos="6048"/>
        </w:tabs>
        <w:ind w:left="360"/>
        <w:rPr>
          <w:color w:val="000000"/>
          <w:sz w:val="24"/>
          <w:szCs w:val="24"/>
        </w:rPr>
      </w:pPr>
      <w:r>
        <w:rPr>
          <w:b/>
          <w:color w:val="000000"/>
          <w:sz w:val="24"/>
          <w:szCs w:val="24"/>
        </w:rPr>
        <w:t>C</w:t>
      </w:r>
      <w:r>
        <w:rPr>
          <w:b/>
          <w:color w:val="000000"/>
          <w:sz w:val="24"/>
          <w:szCs w:val="24"/>
        </w:rPr>
        <w:tab/>
      </w:r>
      <w:r>
        <w:rPr>
          <w:color w:val="000000"/>
          <w:sz w:val="24"/>
          <w:szCs w:val="24"/>
        </w:rPr>
        <w:t>critical cultural awareness</w:t>
      </w:r>
      <w:r>
        <w:rPr>
          <w:noProof/>
        </w:rPr>
        <mc:AlternateContent>
          <mc:Choice Requires="wpg">
            <w:drawing>
              <wp:anchor distT="0" distB="0" distL="114300" distR="114300" simplePos="0" relativeHeight="251660288" behindDoc="0" locked="0" layoutInCell="1" hidden="0" allowOverlap="1" wp14:anchorId="4138B8CE" wp14:editId="38168D01">
                <wp:simplePos x="0" y="0"/>
                <wp:positionH relativeFrom="column">
                  <wp:posOffset>2095500</wp:posOffset>
                </wp:positionH>
                <wp:positionV relativeFrom="paragraph">
                  <wp:posOffset>25400</wp:posOffset>
                </wp:positionV>
                <wp:extent cx="1405890" cy="64769"/>
                <wp:effectExtent l="0" t="0" r="0" b="0"/>
                <wp:wrapNone/>
                <wp:docPr id="2093995318" name="Straight Arrow Connector 2093995318"/>
                <wp:cNvGraphicFramePr/>
                <a:graphic xmlns:a="http://schemas.openxmlformats.org/drawingml/2006/main">
                  <a:graphicData uri="http://schemas.microsoft.com/office/word/2010/wordprocessingShape">
                    <wps:wsp>
                      <wps:cNvCnPr/>
                      <wps:spPr>
                        <a:xfrm>
                          <a:off x="4652580" y="3757141"/>
                          <a:ext cx="1386840" cy="45719"/>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2095500</wp:posOffset>
                </wp:positionH>
                <wp:positionV relativeFrom="paragraph">
                  <wp:posOffset>25400</wp:posOffset>
                </wp:positionV>
                <wp:extent cx="1405890" cy="64769"/>
                <wp:effectExtent b="0" l="0" r="0" t="0"/>
                <wp:wrapNone/>
                <wp:docPr id="2093995318"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1405890" cy="64769"/>
                        </a:xfrm>
                        <a:prstGeom prst="rect"/>
                        <a:ln/>
                      </pic:spPr>
                    </pic:pic>
                  </a:graphicData>
                </a:graphic>
              </wp:anchor>
            </w:drawing>
          </mc:Fallback>
        </mc:AlternateContent>
      </w:r>
    </w:p>
    <w:p w14:paraId="2E10422C" w14:textId="77777777" w:rsidR="009B487B" w:rsidRDefault="009B487B">
      <w:pPr>
        <w:widowControl/>
        <w:pBdr>
          <w:top w:val="nil"/>
          <w:left w:val="nil"/>
          <w:bottom w:val="nil"/>
          <w:right w:val="nil"/>
          <w:between w:val="nil"/>
        </w:pBdr>
        <w:ind w:left="360"/>
        <w:rPr>
          <w:b/>
          <w:color w:val="000000"/>
          <w:sz w:val="24"/>
          <w:szCs w:val="24"/>
        </w:rPr>
      </w:pPr>
    </w:p>
    <w:p w14:paraId="40C75665" w14:textId="77777777" w:rsidR="009B487B" w:rsidRDefault="00000000">
      <w:pPr>
        <w:widowControl/>
        <w:pBdr>
          <w:top w:val="nil"/>
          <w:left w:val="nil"/>
          <w:bottom w:val="nil"/>
          <w:right w:val="nil"/>
          <w:between w:val="nil"/>
        </w:pBdr>
        <w:tabs>
          <w:tab w:val="left" w:pos="5808"/>
          <w:tab w:val="left" w:pos="5988"/>
          <w:tab w:val="left" w:pos="6144"/>
        </w:tabs>
        <w:ind w:left="360"/>
        <w:rPr>
          <w:color w:val="000000"/>
          <w:sz w:val="24"/>
          <w:szCs w:val="24"/>
        </w:rPr>
      </w:pPr>
      <w:r>
        <w:rPr>
          <w:b/>
          <w:color w:val="000000"/>
          <w:sz w:val="24"/>
          <w:szCs w:val="24"/>
        </w:rPr>
        <w:tab/>
      </w:r>
      <w:r>
        <w:rPr>
          <w:b/>
          <w:color w:val="000000"/>
          <w:sz w:val="24"/>
          <w:szCs w:val="24"/>
        </w:rPr>
        <w:tab/>
      </w:r>
    </w:p>
    <w:p w14:paraId="3A4A3450" w14:textId="77777777" w:rsidR="009B487B" w:rsidRDefault="00000000">
      <w:pPr>
        <w:widowControl/>
        <w:pBdr>
          <w:top w:val="nil"/>
          <w:left w:val="nil"/>
          <w:bottom w:val="nil"/>
          <w:right w:val="nil"/>
          <w:between w:val="nil"/>
        </w:pBdr>
        <w:tabs>
          <w:tab w:val="left" w:pos="5736"/>
          <w:tab w:val="left" w:pos="6144"/>
        </w:tabs>
        <w:ind w:left="360"/>
        <w:rPr>
          <w:b/>
          <w:color w:val="000000"/>
          <w:sz w:val="24"/>
          <w:szCs w:val="24"/>
        </w:rPr>
      </w:pPr>
      <w:r>
        <w:rPr>
          <w:b/>
          <w:color w:val="000000"/>
          <w:sz w:val="24"/>
          <w:szCs w:val="24"/>
        </w:rPr>
        <w:tab/>
      </w:r>
      <w:r>
        <w:rPr>
          <w:color w:val="000000"/>
          <w:sz w:val="24"/>
          <w:szCs w:val="24"/>
        </w:rPr>
        <w:t>knowledge</w:t>
      </w:r>
      <w:r>
        <w:rPr>
          <w:b/>
          <w:color w:val="000000"/>
          <w:sz w:val="24"/>
          <w:szCs w:val="24"/>
        </w:rPr>
        <w:tab/>
      </w:r>
      <w:r>
        <w:rPr>
          <w:noProof/>
        </w:rPr>
        <mc:AlternateContent>
          <mc:Choice Requires="wpg">
            <w:drawing>
              <wp:anchor distT="0" distB="0" distL="114300" distR="114300" simplePos="0" relativeHeight="251661312" behindDoc="0" locked="0" layoutInCell="1" hidden="0" allowOverlap="1" wp14:anchorId="542C34DB" wp14:editId="3EF49910">
                <wp:simplePos x="0" y="0"/>
                <wp:positionH relativeFrom="column">
                  <wp:posOffset>2209800</wp:posOffset>
                </wp:positionH>
                <wp:positionV relativeFrom="paragraph">
                  <wp:posOffset>0</wp:posOffset>
                </wp:positionV>
                <wp:extent cx="1316355" cy="64769"/>
                <wp:effectExtent l="0" t="0" r="0" b="0"/>
                <wp:wrapNone/>
                <wp:docPr id="2093995317" name="Straight Arrow Connector 2093995317"/>
                <wp:cNvGraphicFramePr/>
                <a:graphic xmlns:a="http://schemas.openxmlformats.org/drawingml/2006/main">
                  <a:graphicData uri="http://schemas.microsoft.com/office/word/2010/wordprocessingShape">
                    <wps:wsp>
                      <wps:cNvCnPr/>
                      <wps:spPr>
                        <a:xfrm>
                          <a:off x="4697348" y="3757141"/>
                          <a:ext cx="1297305" cy="45719"/>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2209800</wp:posOffset>
                </wp:positionH>
                <wp:positionV relativeFrom="paragraph">
                  <wp:posOffset>0</wp:posOffset>
                </wp:positionV>
                <wp:extent cx="1316355" cy="64769"/>
                <wp:effectExtent b="0" l="0" r="0" t="0"/>
                <wp:wrapNone/>
                <wp:docPr id="2093995317"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316355" cy="64769"/>
                        </a:xfrm>
                        <a:prstGeom prst="rect"/>
                        <a:ln/>
                      </pic:spPr>
                    </pic:pic>
                  </a:graphicData>
                </a:graphic>
              </wp:anchor>
            </w:drawing>
          </mc:Fallback>
        </mc:AlternateContent>
      </w:r>
    </w:p>
    <w:p w14:paraId="4BC5AFD0" w14:textId="77777777" w:rsidR="009B487B" w:rsidRDefault="009B487B">
      <w:pPr>
        <w:widowControl/>
        <w:pBdr>
          <w:top w:val="nil"/>
          <w:left w:val="nil"/>
          <w:bottom w:val="nil"/>
          <w:right w:val="nil"/>
          <w:between w:val="nil"/>
        </w:pBdr>
        <w:ind w:left="360"/>
        <w:rPr>
          <w:b/>
          <w:color w:val="000000"/>
          <w:sz w:val="24"/>
          <w:szCs w:val="24"/>
        </w:rPr>
      </w:pPr>
    </w:p>
    <w:p w14:paraId="79F694BA" w14:textId="77777777" w:rsidR="009B487B" w:rsidRDefault="00000000">
      <w:pPr>
        <w:widowControl/>
        <w:pBdr>
          <w:top w:val="nil"/>
          <w:left w:val="nil"/>
          <w:bottom w:val="nil"/>
          <w:right w:val="nil"/>
          <w:between w:val="nil"/>
        </w:pBdr>
        <w:tabs>
          <w:tab w:val="left" w:pos="5268"/>
          <w:tab w:val="left" w:pos="6192"/>
        </w:tabs>
        <w:ind w:left="360"/>
        <w:rPr>
          <w:b/>
          <w:color w:val="000000"/>
          <w:sz w:val="24"/>
          <w:szCs w:val="24"/>
        </w:rPr>
      </w:pPr>
      <w:r>
        <w:rPr>
          <w:b/>
          <w:color w:val="000000"/>
          <w:sz w:val="24"/>
          <w:szCs w:val="24"/>
        </w:rPr>
        <w:tab/>
        <w:t xml:space="preserve">        </w:t>
      </w:r>
      <w:r>
        <w:rPr>
          <w:color w:val="000000"/>
          <w:sz w:val="24"/>
          <w:szCs w:val="24"/>
        </w:rPr>
        <w:t>skills of discovery and interaction</w:t>
      </w:r>
      <w:r>
        <w:rPr>
          <w:b/>
          <w:color w:val="000000"/>
          <w:sz w:val="24"/>
          <w:szCs w:val="24"/>
        </w:rPr>
        <w:tab/>
      </w:r>
      <w:r>
        <w:rPr>
          <w:noProof/>
        </w:rPr>
        <mc:AlternateContent>
          <mc:Choice Requires="wpg">
            <w:drawing>
              <wp:anchor distT="0" distB="0" distL="114300" distR="114300" simplePos="0" relativeHeight="251662336" behindDoc="0" locked="0" layoutInCell="1" hidden="0" allowOverlap="1" wp14:anchorId="48A0DD0B" wp14:editId="5E4CCDDB">
                <wp:simplePos x="0" y="0"/>
                <wp:positionH relativeFrom="column">
                  <wp:posOffset>2057400</wp:posOffset>
                </wp:positionH>
                <wp:positionV relativeFrom="paragraph">
                  <wp:posOffset>63500</wp:posOffset>
                </wp:positionV>
                <wp:extent cx="1459230" cy="64770"/>
                <wp:effectExtent l="0" t="0" r="0" b="0"/>
                <wp:wrapNone/>
                <wp:docPr id="2093995319" name="Straight Arrow Connector 2093995319"/>
                <wp:cNvGraphicFramePr/>
                <a:graphic xmlns:a="http://schemas.openxmlformats.org/drawingml/2006/main">
                  <a:graphicData uri="http://schemas.microsoft.com/office/word/2010/wordprocessingShape">
                    <wps:wsp>
                      <wps:cNvCnPr/>
                      <wps:spPr>
                        <a:xfrm>
                          <a:off x="4625910" y="3757140"/>
                          <a:ext cx="1440180" cy="45720"/>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2057400</wp:posOffset>
                </wp:positionH>
                <wp:positionV relativeFrom="paragraph">
                  <wp:posOffset>63500</wp:posOffset>
                </wp:positionV>
                <wp:extent cx="1459230" cy="64770"/>
                <wp:effectExtent b="0" l="0" r="0" t="0"/>
                <wp:wrapNone/>
                <wp:docPr id="2093995319"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1459230" cy="64770"/>
                        </a:xfrm>
                        <a:prstGeom prst="rect"/>
                        <a:ln/>
                      </pic:spPr>
                    </pic:pic>
                  </a:graphicData>
                </a:graphic>
              </wp:anchor>
            </w:drawing>
          </mc:Fallback>
        </mc:AlternateContent>
      </w:r>
    </w:p>
    <w:p w14:paraId="03B49F6E" w14:textId="77777777" w:rsidR="009B487B" w:rsidRDefault="00000000">
      <w:pPr>
        <w:widowControl/>
        <w:pBdr>
          <w:top w:val="nil"/>
          <w:left w:val="nil"/>
          <w:bottom w:val="nil"/>
          <w:right w:val="nil"/>
          <w:between w:val="nil"/>
        </w:pBdr>
        <w:tabs>
          <w:tab w:val="left" w:pos="5748"/>
        </w:tabs>
        <w:ind w:left="360"/>
        <w:rPr>
          <w:b/>
          <w:color w:val="000000"/>
          <w:sz w:val="24"/>
          <w:szCs w:val="24"/>
        </w:rPr>
      </w:pPr>
      <w:r>
        <w:rPr>
          <w:b/>
          <w:color w:val="000000"/>
          <w:sz w:val="24"/>
          <w:szCs w:val="24"/>
        </w:rPr>
        <w:tab/>
      </w:r>
    </w:p>
    <w:p w14:paraId="4354FC2D" w14:textId="77777777" w:rsidR="009B487B" w:rsidRDefault="00000000">
      <w:pPr>
        <w:widowControl/>
        <w:pBdr>
          <w:top w:val="nil"/>
          <w:left w:val="nil"/>
          <w:bottom w:val="nil"/>
          <w:right w:val="nil"/>
          <w:between w:val="nil"/>
        </w:pBdr>
        <w:tabs>
          <w:tab w:val="left" w:pos="5748"/>
        </w:tabs>
        <w:ind w:left="360"/>
        <w:rPr>
          <w:b/>
          <w:color w:val="000000"/>
          <w:sz w:val="24"/>
          <w:szCs w:val="24"/>
        </w:rPr>
      </w:pPr>
      <w:r>
        <w:rPr>
          <w:b/>
          <w:color w:val="000000"/>
          <w:sz w:val="24"/>
          <w:szCs w:val="24"/>
        </w:rPr>
        <w:tab/>
      </w:r>
      <w:r>
        <w:rPr>
          <w:color w:val="000000"/>
          <w:sz w:val="24"/>
          <w:szCs w:val="24"/>
        </w:rPr>
        <w:t>skills of interpreting and relating</w:t>
      </w:r>
      <w:r>
        <w:rPr>
          <w:noProof/>
        </w:rPr>
        <mc:AlternateContent>
          <mc:Choice Requires="wpg">
            <w:drawing>
              <wp:anchor distT="0" distB="0" distL="114300" distR="114300" simplePos="0" relativeHeight="251663360" behindDoc="0" locked="0" layoutInCell="1" hidden="0" allowOverlap="1" wp14:anchorId="438222C0" wp14:editId="727BF192">
                <wp:simplePos x="0" y="0"/>
                <wp:positionH relativeFrom="column">
                  <wp:posOffset>1168400</wp:posOffset>
                </wp:positionH>
                <wp:positionV relativeFrom="paragraph">
                  <wp:posOffset>25400</wp:posOffset>
                </wp:positionV>
                <wp:extent cx="2367915" cy="64769"/>
                <wp:effectExtent l="0" t="0" r="0" b="0"/>
                <wp:wrapNone/>
                <wp:docPr id="2093995315" name="Straight Arrow Connector 2093995315"/>
                <wp:cNvGraphicFramePr/>
                <a:graphic xmlns:a="http://schemas.openxmlformats.org/drawingml/2006/main">
                  <a:graphicData uri="http://schemas.microsoft.com/office/word/2010/wordprocessingShape">
                    <wps:wsp>
                      <wps:cNvCnPr/>
                      <wps:spPr>
                        <a:xfrm>
                          <a:off x="4171568" y="3757141"/>
                          <a:ext cx="2348865" cy="45719"/>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1168400</wp:posOffset>
                </wp:positionH>
                <wp:positionV relativeFrom="paragraph">
                  <wp:posOffset>25400</wp:posOffset>
                </wp:positionV>
                <wp:extent cx="2367915" cy="64769"/>
                <wp:effectExtent b="0" l="0" r="0" t="0"/>
                <wp:wrapNone/>
                <wp:docPr id="2093995315"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2367915" cy="64769"/>
                        </a:xfrm>
                        <a:prstGeom prst="rect"/>
                        <a:ln/>
                      </pic:spPr>
                    </pic:pic>
                  </a:graphicData>
                </a:graphic>
              </wp:anchor>
            </w:drawing>
          </mc:Fallback>
        </mc:AlternateContent>
      </w:r>
    </w:p>
    <w:p w14:paraId="2E5B338C" w14:textId="77777777" w:rsidR="009B487B" w:rsidRDefault="009B487B">
      <w:pPr>
        <w:widowControl/>
        <w:pBdr>
          <w:top w:val="nil"/>
          <w:left w:val="nil"/>
          <w:bottom w:val="nil"/>
          <w:right w:val="nil"/>
          <w:between w:val="nil"/>
        </w:pBdr>
        <w:ind w:left="360"/>
        <w:rPr>
          <w:b/>
          <w:color w:val="000000"/>
          <w:sz w:val="24"/>
          <w:szCs w:val="24"/>
        </w:rPr>
      </w:pPr>
    </w:p>
    <w:p w14:paraId="7BD55C98" w14:textId="77777777" w:rsidR="009B487B" w:rsidRDefault="00000000">
      <w:pPr>
        <w:widowControl/>
        <w:pBdr>
          <w:top w:val="nil"/>
          <w:left w:val="nil"/>
          <w:bottom w:val="nil"/>
          <w:right w:val="nil"/>
          <w:between w:val="nil"/>
        </w:pBdr>
        <w:spacing w:after="160"/>
        <w:rPr>
          <w:color w:val="000000"/>
          <w:sz w:val="24"/>
          <w:szCs w:val="24"/>
        </w:rPr>
      </w:pPr>
      <w:r>
        <w:rPr>
          <w:b/>
          <w:color w:val="000000"/>
          <w:sz w:val="24"/>
          <w:szCs w:val="24"/>
        </w:rPr>
        <w:t>Figure 1</w:t>
      </w:r>
      <w:r>
        <w:rPr>
          <w:color w:val="000000"/>
          <w:sz w:val="24"/>
          <w:szCs w:val="24"/>
        </w:rPr>
        <w:t>. Byram’s (2021) Model of Intercultural Competence</w:t>
      </w:r>
    </w:p>
    <w:p w14:paraId="434E3226" w14:textId="77777777" w:rsidR="009B487B" w:rsidRDefault="009B487B">
      <w:pPr>
        <w:rPr>
          <w:sz w:val="24"/>
          <w:szCs w:val="24"/>
        </w:rPr>
      </w:pPr>
    </w:p>
    <w:p w14:paraId="29E6AA42" w14:textId="77777777" w:rsidR="009B487B" w:rsidRDefault="00000000">
      <w:pPr>
        <w:rPr>
          <w:b/>
          <w:sz w:val="24"/>
          <w:szCs w:val="24"/>
        </w:rPr>
      </w:pPr>
      <w:r>
        <w:rPr>
          <w:sz w:val="24"/>
          <w:szCs w:val="24"/>
        </w:rPr>
        <w:t xml:space="preserve">Byram (2021) highlights that the model provides a basis for planning teaching and assessment rather than a model of learning. As Figure 1 shows, Byram’s model of intercultural competence is directed to the domains of attitudes, critical cultural awareness, knowledge, skills of discovery and interaction and skills of interpreting and relating. There is a hierarchy in that appropriate attitudes are needed before other competences can be learned, but it is also possible that attitudes will develop as skills are taught. Byram (2021) also </w:t>
      </w:r>
      <w:proofErr w:type="spellStart"/>
      <w:r>
        <w:rPr>
          <w:sz w:val="24"/>
          <w:szCs w:val="24"/>
        </w:rPr>
        <w:t>emphasises</w:t>
      </w:r>
      <w:proofErr w:type="spellEnd"/>
      <w:r>
        <w:rPr>
          <w:sz w:val="24"/>
          <w:szCs w:val="24"/>
        </w:rPr>
        <w:t xml:space="preserve"> that intercultural competence may be acquired in the classroom. Moreover, with this competence, educators can teach students the elements of their own or other cultures in the books used in the lessons through language.</w:t>
      </w:r>
    </w:p>
    <w:p w14:paraId="111E6046" w14:textId="77777777" w:rsidR="009B487B" w:rsidRDefault="009B487B">
      <w:pPr>
        <w:widowControl/>
        <w:pBdr>
          <w:top w:val="nil"/>
          <w:left w:val="nil"/>
          <w:bottom w:val="nil"/>
          <w:right w:val="nil"/>
          <w:between w:val="nil"/>
        </w:pBdr>
        <w:ind w:left="357"/>
        <w:rPr>
          <w:b/>
          <w:color w:val="000000"/>
          <w:sz w:val="24"/>
          <w:szCs w:val="24"/>
        </w:rPr>
      </w:pPr>
    </w:p>
    <w:p w14:paraId="55601D0B" w14:textId="77777777" w:rsidR="009B487B" w:rsidRDefault="00000000">
      <w:pPr>
        <w:rPr>
          <w:b/>
          <w:sz w:val="24"/>
          <w:szCs w:val="24"/>
        </w:rPr>
      </w:pPr>
      <w:r>
        <w:rPr>
          <w:b/>
          <w:sz w:val="24"/>
          <w:szCs w:val="24"/>
        </w:rPr>
        <w:t>Representation of culture in ELT coursebooks</w:t>
      </w:r>
    </w:p>
    <w:p w14:paraId="63471100" w14:textId="77777777" w:rsidR="009B487B" w:rsidRDefault="009B487B">
      <w:pPr>
        <w:rPr>
          <w:b/>
          <w:sz w:val="24"/>
          <w:szCs w:val="24"/>
        </w:rPr>
      </w:pPr>
    </w:p>
    <w:p w14:paraId="38641D51" w14:textId="77777777" w:rsidR="009B487B" w:rsidRDefault="00000000">
      <w:pPr>
        <w:rPr>
          <w:sz w:val="24"/>
          <w:szCs w:val="24"/>
        </w:rPr>
      </w:pPr>
      <w:r>
        <w:rPr>
          <w:sz w:val="24"/>
          <w:szCs w:val="24"/>
        </w:rPr>
        <w:t>There is general agreement in modern foreign language methodology that language and culture should be taught together, which means that culture ought to be integrated into ELT materials. Culture in ELT materials should not be a superficial addition but an integral component that fosters intercultural competence (</w:t>
      </w:r>
      <w:proofErr w:type="spellStart"/>
      <w:r>
        <w:rPr>
          <w:sz w:val="24"/>
          <w:szCs w:val="24"/>
        </w:rPr>
        <w:t>Kramsch</w:t>
      </w:r>
      <w:proofErr w:type="spellEnd"/>
      <w:r>
        <w:rPr>
          <w:sz w:val="24"/>
          <w:szCs w:val="24"/>
        </w:rPr>
        <w:t xml:space="preserve">, 1995). For language learners, ELT coursebooks are the main source of language and culture. The representation of culture in ELT materials plays a crucial role in shaping learners’ perceptions and understanding of the target language community (McKay, 2004). Coursebooks potentially allow students to get to know cultures. Rathert and </w:t>
      </w:r>
      <w:proofErr w:type="spellStart"/>
      <w:r>
        <w:rPr>
          <w:sz w:val="24"/>
          <w:szCs w:val="24"/>
        </w:rPr>
        <w:t>Cabaroğlu</w:t>
      </w:r>
      <w:proofErr w:type="spellEnd"/>
      <w:r>
        <w:rPr>
          <w:sz w:val="24"/>
          <w:szCs w:val="24"/>
        </w:rPr>
        <w:t xml:space="preserve"> (2022) make the point that coursebooks include materials that engage learners in the comparison of their own linguacultural backgrounds with those of speakers of the target language. Furthermore, </w:t>
      </w:r>
      <w:proofErr w:type="spellStart"/>
      <w:r>
        <w:rPr>
          <w:sz w:val="24"/>
          <w:szCs w:val="24"/>
        </w:rPr>
        <w:t>localising</w:t>
      </w:r>
      <w:proofErr w:type="spellEnd"/>
      <w:r>
        <w:rPr>
          <w:sz w:val="24"/>
          <w:szCs w:val="24"/>
        </w:rPr>
        <w:t xml:space="preserve"> and </w:t>
      </w:r>
      <w:proofErr w:type="spellStart"/>
      <w:r>
        <w:rPr>
          <w:sz w:val="24"/>
          <w:szCs w:val="24"/>
        </w:rPr>
        <w:t>personalising</w:t>
      </w:r>
      <w:proofErr w:type="spellEnd"/>
      <w:r>
        <w:rPr>
          <w:sz w:val="24"/>
          <w:szCs w:val="24"/>
        </w:rPr>
        <w:t xml:space="preserve"> coursebook content is a way to enhance the relevance of materials for learners (McGrath, 2013). However, according to Nunan (2003), ELT coursebooks should strive for a balance between presenting familiar cultural aspects and introducing learners to new and diverse cultural experiences. </w:t>
      </w:r>
      <w:proofErr w:type="gramStart"/>
      <w:r>
        <w:rPr>
          <w:sz w:val="24"/>
          <w:szCs w:val="24"/>
        </w:rPr>
        <w:t>As long as</w:t>
      </w:r>
      <w:proofErr w:type="gramEnd"/>
      <w:r>
        <w:rPr>
          <w:sz w:val="24"/>
          <w:szCs w:val="24"/>
        </w:rPr>
        <w:t xml:space="preserve"> these are balanced, the integration of diverse cultural viewpoints in coursebooks can help language learners increase empathy, tolerance, and understanding. </w:t>
      </w:r>
    </w:p>
    <w:p w14:paraId="73C590FA" w14:textId="77777777" w:rsidR="009B487B" w:rsidRDefault="009B487B">
      <w:pPr>
        <w:rPr>
          <w:sz w:val="24"/>
          <w:szCs w:val="24"/>
        </w:rPr>
      </w:pPr>
    </w:p>
    <w:p w14:paraId="7D57BDE1" w14:textId="77777777" w:rsidR="009B487B" w:rsidRDefault="00000000">
      <w:pPr>
        <w:rPr>
          <w:sz w:val="24"/>
          <w:szCs w:val="24"/>
        </w:rPr>
      </w:pPr>
      <w:r>
        <w:rPr>
          <w:sz w:val="24"/>
          <w:szCs w:val="24"/>
        </w:rPr>
        <w:t xml:space="preserve">To evaluate representation of culture in language materials, an important contribution was made by </w:t>
      </w:r>
      <w:proofErr w:type="spellStart"/>
      <w:r>
        <w:rPr>
          <w:sz w:val="24"/>
          <w:szCs w:val="24"/>
        </w:rPr>
        <w:t>Cortazzi</w:t>
      </w:r>
      <w:proofErr w:type="spellEnd"/>
      <w:r>
        <w:rPr>
          <w:sz w:val="24"/>
          <w:szCs w:val="24"/>
        </w:rPr>
        <w:t xml:space="preserve"> and Jin (1999) in their study on the reflection of culture in coursebooks </w:t>
      </w:r>
      <w:r>
        <w:rPr>
          <w:sz w:val="24"/>
          <w:szCs w:val="24"/>
        </w:rPr>
        <w:lastRenderedPageBreak/>
        <w:t>used for teaching English as a foreign language (EFL) and English as a second language (ESL). They</w:t>
      </w:r>
      <w:r>
        <w:t xml:space="preserve"> </w:t>
      </w:r>
      <w:r>
        <w:rPr>
          <w:sz w:val="24"/>
          <w:szCs w:val="24"/>
        </w:rPr>
        <w:t xml:space="preserve">separate the culture into three categories. The first one is the source culture. That is the learners’ own culture. The second one is the target culture, which is the culture or are the cultures of countries whose native language is English, e.g., the American, British, or Australian culture. The third category refers to international target cultures. These belong to countries that use English as an international language as a means of communication. </w:t>
      </w:r>
    </w:p>
    <w:p w14:paraId="2A1C52B5" w14:textId="77777777" w:rsidR="009B487B" w:rsidRDefault="009B487B">
      <w:pPr>
        <w:rPr>
          <w:sz w:val="24"/>
          <w:szCs w:val="24"/>
        </w:rPr>
      </w:pPr>
    </w:p>
    <w:p w14:paraId="1B9DA7DF" w14:textId="77777777" w:rsidR="009B487B" w:rsidRDefault="00000000">
      <w:pPr>
        <w:rPr>
          <w:sz w:val="24"/>
          <w:szCs w:val="24"/>
        </w:rPr>
      </w:pPr>
      <w:r>
        <w:rPr>
          <w:sz w:val="24"/>
          <w:szCs w:val="24"/>
        </w:rPr>
        <w:t>There are several studies on how local coursebooks include cultural content. A common trend is the observation that cultural elements are considered (</w:t>
      </w:r>
      <w:proofErr w:type="spellStart"/>
      <w:r>
        <w:rPr>
          <w:sz w:val="24"/>
          <w:szCs w:val="24"/>
        </w:rPr>
        <w:t>Kırkgöz</w:t>
      </w:r>
      <w:proofErr w:type="spellEnd"/>
      <w:r>
        <w:rPr>
          <w:sz w:val="24"/>
          <w:szCs w:val="24"/>
        </w:rPr>
        <w:t xml:space="preserve"> &amp; </w:t>
      </w:r>
      <w:proofErr w:type="spellStart"/>
      <w:r>
        <w:rPr>
          <w:sz w:val="24"/>
          <w:szCs w:val="24"/>
        </w:rPr>
        <w:t>Ağçam</w:t>
      </w:r>
      <w:proofErr w:type="spellEnd"/>
      <w:r>
        <w:rPr>
          <w:sz w:val="24"/>
          <w:szCs w:val="24"/>
        </w:rPr>
        <w:t xml:space="preserve">, 2011), but representations may not be balanced (Saraç &amp; </w:t>
      </w:r>
      <w:proofErr w:type="spellStart"/>
      <w:r>
        <w:rPr>
          <w:sz w:val="24"/>
          <w:szCs w:val="24"/>
        </w:rPr>
        <w:t>Arıkanç</w:t>
      </w:r>
      <w:proofErr w:type="spellEnd"/>
      <w:r>
        <w:rPr>
          <w:sz w:val="24"/>
          <w:szCs w:val="24"/>
        </w:rPr>
        <w:t xml:space="preserve">, 2010; </w:t>
      </w:r>
      <w:proofErr w:type="spellStart"/>
      <w:r>
        <w:rPr>
          <w:sz w:val="24"/>
          <w:szCs w:val="24"/>
        </w:rPr>
        <w:t>Toprakçı</w:t>
      </w:r>
      <w:proofErr w:type="spellEnd"/>
      <w:r>
        <w:rPr>
          <w:sz w:val="24"/>
          <w:szCs w:val="24"/>
        </w:rPr>
        <w:t xml:space="preserve"> &amp; </w:t>
      </w:r>
      <w:proofErr w:type="spellStart"/>
      <w:r>
        <w:rPr>
          <w:sz w:val="24"/>
          <w:szCs w:val="24"/>
        </w:rPr>
        <w:t>Özaydınlı</w:t>
      </w:r>
      <w:proofErr w:type="spellEnd"/>
      <w:r>
        <w:rPr>
          <w:sz w:val="24"/>
          <w:szCs w:val="24"/>
        </w:rPr>
        <w:t xml:space="preserve">, 2021; Yiğit &amp; </w:t>
      </w:r>
      <w:proofErr w:type="spellStart"/>
      <w:r>
        <w:rPr>
          <w:sz w:val="24"/>
          <w:szCs w:val="24"/>
        </w:rPr>
        <w:t>Dolgunsöz</w:t>
      </w:r>
      <w:proofErr w:type="spellEnd"/>
      <w:r>
        <w:rPr>
          <w:sz w:val="24"/>
          <w:szCs w:val="24"/>
        </w:rPr>
        <w:t xml:space="preserve">, 2022) or insufficient to prepare language learners’ intercultural competence (Rathert, 2023). </w:t>
      </w:r>
    </w:p>
    <w:p w14:paraId="0A3DDFBF" w14:textId="77777777" w:rsidR="009B487B" w:rsidRDefault="009B487B">
      <w:pPr>
        <w:rPr>
          <w:sz w:val="24"/>
          <w:szCs w:val="24"/>
        </w:rPr>
      </w:pPr>
    </w:p>
    <w:p w14:paraId="02BD4BAD" w14:textId="77777777" w:rsidR="009B487B" w:rsidRDefault="00000000">
      <w:pPr>
        <w:rPr>
          <w:b/>
          <w:sz w:val="24"/>
          <w:szCs w:val="24"/>
        </w:rPr>
      </w:pPr>
      <w:r>
        <w:rPr>
          <w:b/>
          <w:sz w:val="24"/>
          <w:szCs w:val="24"/>
        </w:rPr>
        <w:t>Methodology</w:t>
      </w:r>
    </w:p>
    <w:p w14:paraId="330CE28C" w14:textId="77777777" w:rsidR="009B487B" w:rsidRDefault="009B487B">
      <w:pPr>
        <w:rPr>
          <w:sz w:val="28"/>
          <w:szCs w:val="28"/>
        </w:rPr>
      </w:pPr>
    </w:p>
    <w:p w14:paraId="105BDF45" w14:textId="77777777" w:rsidR="009B487B" w:rsidRDefault="00000000">
      <w:pPr>
        <w:rPr>
          <w:sz w:val="24"/>
          <w:szCs w:val="24"/>
        </w:rPr>
      </w:pPr>
      <w:r>
        <w:rPr>
          <w:sz w:val="24"/>
          <w:szCs w:val="24"/>
        </w:rPr>
        <w:t>The study aimed to determine cultural representation in a local coursebook used at Turkish secondary schools. The study aimed to answer the following research questions:</w:t>
      </w:r>
    </w:p>
    <w:p w14:paraId="2F910C58" w14:textId="77777777" w:rsidR="009B487B" w:rsidRDefault="009B487B">
      <w:pPr>
        <w:rPr>
          <w:sz w:val="24"/>
          <w:szCs w:val="24"/>
        </w:rPr>
      </w:pPr>
    </w:p>
    <w:p w14:paraId="6A93613C" w14:textId="77777777" w:rsidR="009B487B" w:rsidRDefault="00000000">
      <w:pPr>
        <w:widowControl/>
        <w:numPr>
          <w:ilvl w:val="0"/>
          <w:numId w:val="1"/>
        </w:numPr>
        <w:pBdr>
          <w:top w:val="nil"/>
          <w:left w:val="nil"/>
          <w:bottom w:val="nil"/>
          <w:right w:val="nil"/>
          <w:between w:val="nil"/>
        </w:pBdr>
        <w:spacing w:line="259" w:lineRule="auto"/>
        <w:rPr>
          <w:color w:val="000000"/>
          <w:sz w:val="24"/>
          <w:szCs w:val="24"/>
        </w:rPr>
      </w:pPr>
      <w:r>
        <w:rPr>
          <w:color w:val="000000"/>
          <w:sz w:val="24"/>
          <w:szCs w:val="24"/>
        </w:rPr>
        <w:t xml:space="preserve">What is the distribution of the source culture, the target culture, international target cultures and cultural elements without reference in reading and writing texts in the coursebook </w:t>
      </w:r>
      <w:proofErr w:type="spellStart"/>
      <w:r>
        <w:rPr>
          <w:color w:val="000000"/>
          <w:sz w:val="24"/>
          <w:szCs w:val="24"/>
        </w:rPr>
        <w:t>analysed</w:t>
      </w:r>
      <w:proofErr w:type="spellEnd"/>
      <w:r>
        <w:rPr>
          <w:color w:val="000000"/>
          <w:sz w:val="24"/>
          <w:szCs w:val="24"/>
        </w:rPr>
        <w:t>?</w:t>
      </w:r>
    </w:p>
    <w:p w14:paraId="33062FC3" w14:textId="77777777" w:rsidR="009B487B" w:rsidRDefault="00000000">
      <w:pPr>
        <w:widowControl/>
        <w:numPr>
          <w:ilvl w:val="0"/>
          <w:numId w:val="1"/>
        </w:numPr>
        <w:pBdr>
          <w:top w:val="nil"/>
          <w:left w:val="nil"/>
          <w:bottom w:val="nil"/>
          <w:right w:val="nil"/>
          <w:between w:val="nil"/>
        </w:pBdr>
        <w:spacing w:after="160" w:line="259" w:lineRule="auto"/>
        <w:rPr>
          <w:color w:val="000000"/>
          <w:sz w:val="24"/>
          <w:szCs w:val="24"/>
        </w:rPr>
      </w:pPr>
      <w:r>
        <w:rPr>
          <w:color w:val="000000"/>
          <w:sz w:val="24"/>
          <w:szCs w:val="24"/>
        </w:rPr>
        <w:t xml:space="preserve">What is the distribution of culture elements represented through people, places and practices and objects in reading and writing texts in the coursebook </w:t>
      </w:r>
      <w:proofErr w:type="spellStart"/>
      <w:r>
        <w:rPr>
          <w:color w:val="000000"/>
          <w:sz w:val="24"/>
          <w:szCs w:val="24"/>
        </w:rPr>
        <w:t>analysed</w:t>
      </w:r>
      <w:proofErr w:type="spellEnd"/>
      <w:r>
        <w:rPr>
          <w:color w:val="000000"/>
          <w:sz w:val="24"/>
          <w:szCs w:val="24"/>
        </w:rPr>
        <w:t>?</w:t>
      </w:r>
    </w:p>
    <w:p w14:paraId="0F631413" w14:textId="77777777" w:rsidR="009B487B" w:rsidRDefault="009B487B">
      <w:pPr>
        <w:rPr>
          <w:b/>
          <w:sz w:val="24"/>
          <w:szCs w:val="24"/>
        </w:rPr>
      </w:pPr>
    </w:p>
    <w:p w14:paraId="6705D446" w14:textId="77777777" w:rsidR="009B487B" w:rsidRDefault="00000000">
      <w:pPr>
        <w:rPr>
          <w:b/>
          <w:i/>
          <w:sz w:val="24"/>
          <w:szCs w:val="24"/>
        </w:rPr>
      </w:pPr>
      <w:r>
        <w:rPr>
          <w:b/>
          <w:i/>
          <w:sz w:val="24"/>
          <w:szCs w:val="24"/>
        </w:rPr>
        <w:t>Coursebook</w:t>
      </w:r>
    </w:p>
    <w:p w14:paraId="65AD642F" w14:textId="77777777" w:rsidR="009B487B" w:rsidRDefault="00000000">
      <w:pPr>
        <w:rPr>
          <w:sz w:val="24"/>
          <w:szCs w:val="24"/>
        </w:rPr>
      </w:pPr>
      <w:r>
        <w:rPr>
          <w:sz w:val="24"/>
          <w:szCs w:val="24"/>
        </w:rPr>
        <w:t xml:space="preserve">The coursebook </w:t>
      </w:r>
      <w:proofErr w:type="spellStart"/>
      <w:r>
        <w:rPr>
          <w:sz w:val="24"/>
          <w:szCs w:val="24"/>
        </w:rPr>
        <w:t>analysed</w:t>
      </w:r>
      <w:proofErr w:type="spellEnd"/>
      <w:r>
        <w:rPr>
          <w:sz w:val="24"/>
          <w:szCs w:val="24"/>
        </w:rPr>
        <w:t xml:space="preserve"> in this study was </w:t>
      </w:r>
      <w:r>
        <w:rPr>
          <w:i/>
          <w:sz w:val="24"/>
          <w:szCs w:val="24"/>
        </w:rPr>
        <w:t xml:space="preserve">Mastermind English Student’s Book </w:t>
      </w:r>
      <w:r>
        <w:rPr>
          <w:sz w:val="24"/>
          <w:szCs w:val="24"/>
        </w:rPr>
        <w:t>(</w:t>
      </w:r>
      <w:proofErr w:type="spellStart"/>
      <w:r>
        <w:rPr>
          <w:sz w:val="24"/>
          <w:szCs w:val="24"/>
        </w:rPr>
        <w:t>İlter</w:t>
      </w:r>
      <w:proofErr w:type="spellEnd"/>
      <w:r>
        <w:rPr>
          <w:sz w:val="24"/>
          <w:szCs w:val="24"/>
        </w:rPr>
        <w:t xml:space="preserve"> et al., 2022) (henceforth: </w:t>
      </w:r>
      <w:r>
        <w:rPr>
          <w:i/>
          <w:sz w:val="24"/>
          <w:szCs w:val="24"/>
        </w:rPr>
        <w:t>Mastermind</w:t>
      </w:r>
      <w:r>
        <w:rPr>
          <w:sz w:val="24"/>
          <w:szCs w:val="24"/>
        </w:rPr>
        <w:t>).</w:t>
      </w:r>
      <w:r>
        <w:rPr>
          <w:i/>
          <w:sz w:val="24"/>
          <w:szCs w:val="24"/>
        </w:rPr>
        <w:t xml:space="preserve"> Mastermind</w:t>
      </w:r>
      <w:r>
        <w:rPr>
          <w:sz w:val="24"/>
          <w:szCs w:val="24"/>
        </w:rPr>
        <w:t xml:space="preserve"> is a local EFL coursebook prepared for the use at secondary schools (Grade 8) in Türkiye. The level of the coursebook is A2 and it is in line with the curriculum issued by the Ministry of National Education (Ministry of Education, 2018). It is distributed free to teachers and students in state schools and can be accessed on the Internet.</w:t>
      </w:r>
    </w:p>
    <w:p w14:paraId="47E94859" w14:textId="77777777" w:rsidR="009B487B" w:rsidRDefault="009B487B">
      <w:pPr>
        <w:rPr>
          <w:sz w:val="24"/>
          <w:szCs w:val="24"/>
          <w:highlight w:val="white"/>
        </w:rPr>
      </w:pPr>
    </w:p>
    <w:p w14:paraId="5B89600A" w14:textId="77777777" w:rsidR="009B487B" w:rsidRDefault="00000000">
      <w:pPr>
        <w:rPr>
          <w:sz w:val="24"/>
          <w:szCs w:val="24"/>
        </w:rPr>
      </w:pPr>
      <w:r>
        <w:rPr>
          <w:i/>
          <w:sz w:val="24"/>
          <w:szCs w:val="24"/>
          <w:highlight w:val="white"/>
        </w:rPr>
        <w:t xml:space="preserve">Mastermind </w:t>
      </w:r>
      <w:r>
        <w:rPr>
          <w:sz w:val="24"/>
          <w:szCs w:val="24"/>
          <w:highlight w:val="white"/>
        </w:rPr>
        <w:t>consists of 10 different theme-based units. The book has a multi-component syllabus with emphasis on communicative functions, e.g., accepting and refusing, making excuses. The units contain idioms or proverbs from different cultures. At the end of each unit, there are sections with various activities called ‘study boxes’ reviewing functions, vocabulary, grammar, and self-assessment activities.</w:t>
      </w:r>
    </w:p>
    <w:p w14:paraId="40363414" w14:textId="77777777" w:rsidR="009B487B" w:rsidRDefault="009B487B">
      <w:pPr>
        <w:rPr>
          <w:b/>
          <w:sz w:val="24"/>
          <w:szCs w:val="24"/>
        </w:rPr>
      </w:pPr>
    </w:p>
    <w:p w14:paraId="7A78B1F0" w14:textId="77777777" w:rsidR="009B487B" w:rsidRDefault="00000000">
      <w:pPr>
        <w:rPr>
          <w:b/>
          <w:i/>
          <w:sz w:val="24"/>
          <w:szCs w:val="24"/>
        </w:rPr>
      </w:pPr>
      <w:r>
        <w:rPr>
          <w:b/>
          <w:i/>
          <w:sz w:val="24"/>
          <w:szCs w:val="24"/>
        </w:rPr>
        <w:t>Analysis</w:t>
      </w:r>
    </w:p>
    <w:p w14:paraId="034F39C1" w14:textId="77777777" w:rsidR="009B487B" w:rsidRDefault="00000000">
      <w:pPr>
        <w:rPr>
          <w:sz w:val="24"/>
          <w:szCs w:val="24"/>
        </w:rPr>
      </w:pPr>
      <w:r>
        <w:rPr>
          <w:sz w:val="24"/>
          <w:szCs w:val="24"/>
        </w:rPr>
        <w:t xml:space="preserve">The book was </w:t>
      </w:r>
      <w:proofErr w:type="spellStart"/>
      <w:r>
        <w:rPr>
          <w:sz w:val="24"/>
          <w:szCs w:val="24"/>
        </w:rPr>
        <w:t>analysed</w:t>
      </w:r>
      <w:proofErr w:type="spellEnd"/>
      <w:r>
        <w:rPr>
          <w:sz w:val="24"/>
          <w:szCs w:val="24"/>
        </w:rPr>
        <w:t xml:space="preserve"> through identification and coding of cultural elements in reading and writing texts. The following steps were followed. First, the reading and writing texts in the </w:t>
      </w:r>
      <w:r>
        <w:rPr>
          <w:i/>
          <w:sz w:val="24"/>
          <w:szCs w:val="24"/>
        </w:rPr>
        <w:t xml:space="preserve">Mastermind </w:t>
      </w:r>
      <w:r>
        <w:rPr>
          <w:sz w:val="24"/>
          <w:szCs w:val="24"/>
        </w:rPr>
        <w:t xml:space="preserve">(indicated through a book and a pencil icon) were identified. Then, </w:t>
      </w:r>
      <w:proofErr w:type="spellStart"/>
      <w:r>
        <w:rPr>
          <w:sz w:val="24"/>
          <w:szCs w:val="24"/>
        </w:rPr>
        <w:t>Cortazzi</w:t>
      </w:r>
      <w:proofErr w:type="spellEnd"/>
      <w:r>
        <w:rPr>
          <w:sz w:val="24"/>
          <w:szCs w:val="24"/>
        </w:rPr>
        <w:t xml:space="preserve"> and Jin's (1999) framework was used to conduct the analysis. In this framework, cultural information in English coursebooks is divided into three categories: the source (Turkish) culture, the target (British, American, New Zealand) culture, and international target cultures (e.g., German, Italian, and French). The identified texts were coded accordingly. Following procedures by Rathert (2023), no reference was added as a further coding category to capture cultural elements that were not related to any specific cultural background.</w:t>
      </w:r>
    </w:p>
    <w:p w14:paraId="11675471" w14:textId="77777777" w:rsidR="009B487B" w:rsidRDefault="009B487B">
      <w:pPr>
        <w:rPr>
          <w:sz w:val="24"/>
          <w:szCs w:val="24"/>
        </w:rPr>
      </w:pPr>
    </w:p>
    <w:p w14:paraId="441F36CA" w14:textId="77777777" w:rsidR="009B487B" w:rsidRDefault="00000000">
      <w:pPr>
        <w:rPr>
          <w:sz w:val="24"/>
          <w:szCs w:val="24"/>
        </w:rPr>
      </w:pPr>
      <w:r>
        <w:rPr>
          <w:sz w:val="24"/>
          <w:szCs w:val="24"/>
        </w:rPr>
        <w:lastRenderedPageBreak/>
        <w:t xml:space="preserve">To exemplify the analysis procedures, in a reading text about </w:t>
      </w:r>
      <w:proofErr w:type="spellStart"/>
      <w:r>
        <w:rPr>
          <w:sz w:val="24"/>
          <w:szCs w:val="24"/>
        </w:rPr>
        <w:t>Hezarfen</w:t>
      </w:r>
      <w:proofErr w:type="spellEnd"/>
      <w:r>
        <w:rPr>
          <w:sz w:val="24"/>
          <w:szCs w:val="24"/>
        </w:rPr>
        <w:t xml:space="preserve"> Ahmed Çelebi, an Ottoman scientist (</w:t>
      </w:r>
      <w:r>
        <w:rPr>
          <w:i/>
          <w:sz w:val="24"/>
          <w:szCs w:val="24"/>
        </w:rPr>
        <w:t>Mastermind</w:t>
      </w:r>
      <w:r>
        <w:rPr>
          <w:sz w:val="24"/>
          <w:szCs w:val="24"/>
        </w:rPr>
        <w:t xml:space="preserve">, p. 77), there were certain source culture elements such as Galata Tower and </w:t>
      </w:r>
      <w:proofErr w:type="spellStart"/>
      <w:r>
        <w:rPr>
          <w:sz w:val="24"/>
          <w:szCs w:val="24"/>
        </w:rPr>
        <w:t>Üsküdar</w:t>
      </w:r>
      <w:proofErr w:type="spellEnd"/>
      <w:r>
        <w:rPr>
          <w:sz w:val="24"/>
          <w:szCs w:val="24"/>
        </w:rPr>
        <w:t xml:space="preserve"> district, places in Istanbul. The elements included in a reading text about the firsts of the Internet (</w:t>
      </w:r>
      <w:r>
        <w:rPr>
          <w:i/>
          <w:sz w:val="24"/>
          <w:szCs w:val="24"/>
        </w:rPr>
        <w:t>Mastermind</w:t>
      </w:r>
      <w:r>
        <w:rPr>
          <w:sz w:val="24"/>
          <w:szCs w:val="24"/>
        </w:rPr>
        <w:t>, p. 64) were associated with the target culture category, which is the culture of countries whose native or predominant language is English. A reading text about an earthquake in Japan (</w:t>
      </w:r>
      <w:r>
        <w:rPr>
          <w:i/>
          <w:sz w:val="24"/>
          <w:szCs w:val="24"/>
        </w:rPr>
        <w:t>Mastermind</w:t>
      </w:r>
      <w:r>
        <w:rPr>
          <w:sz w:val="24"/>
          <w:szCs w:val="24"/>
        </w:rPr>
        <w:t>, p. 127) was coded as international target cultures. An example for a cultural element with no reference is a text about the telephone (</w:t>
      </w:r>
      <w:r>
        <w:rPr>
          <w:i/>
          <w:sz w:val="24"/>
          <w:szCs w:val="24"/>
        </w:rPr>
        <w:t>Mastermind</w:t>
      </w:r>
      <w:r>
        <w:rPr>
          <w:sz w:val="24"/>
          <w:szCs w:val="24"/>
        </w:rPr>
        <w:t>, p. 53) as the text does not refer to any linguacultural background.</w:t>
      </w:r>
    </w:p>
    <w:p w14:paraId="7C85B5A7" w14:textId="77777777" w:rsidR="009B487B" w:rsidRDefault="009B487B">
      <w:pPr>
        <w:rPr>
          <w:sz w:val="24"/>
          <w:szCs w:val="24"/>
        </w:rPr>
      </w:pPr>
    </w:p>
    <w:p w14:paraId="3096B271" w14:textId="77777777" w:rsidR="009B487B" w:rsidRDefault="00000000">
      <w:pPr>
        <w:rPr>
          <w:sz w:val="24"/>
          <w:szCs w:val="24"/>
        </w:rPr>
      </w:pPr>
      <w:r>
        <w:rPr>
          <w:sz w:val="24"/>
          <w:szCs w:val="24"/>
        </w:rPr>
        <w:t>The specified cultural categories were examined in terms of people (e.g., John), places (e.g., Antalya, a province in Türkiye), and practices and objects (e.g., festivals or traditional meals).</w:t>
      </w:r>
    </w:p>
    <w:p w14:paraId="20486CBF" w14:textId="77777777" w:rsidR="009B487B" w:rsidRDefault="009B487B">
      <w:pPr>
        <w:rPr>
          <w:sz w:val="24"/>
          <w:szCs w:val="24"/>
        </w:rPr>
      </w:pPr>
    </w:p>
    <w:p w14:paraId="1580B11C" w14:textId="77777777" w:rsidR="009B487B" w:rsidRDefault="00000000">
      <w:pPr>
        <w:rPr>
          <w:sz w:val="24"/>
          <w:szCs w:val="24"/>
        </w:rPr>
      </w:pPr>
      <w:r>
        <w:rPr>
          <w:sz w:val="24"/>
          <w:szCs w:val="24"/>
        </w:rPr>
        <w:t xml:space="preserve">As this study was part of an undergraduate course on coursebook evaluation, reliability and validity were considered through having other course participants </w:t>
      </w:r>
      <w:proofErr w:type="spellStart"/>
      <w:r>
        <w:rPr>
          <w:sz w:val="24"/>
          <w:szCs w:val="24"/>
        </w:rPr>
        <w:t>analyse</w:t>
      </w:r>
      <w:proofErr w:type="spellEnd"/>
      <w:r>
        <w:rPr>
          <w:sz w:val="24"/>
          <w:szCs w:val="24"/>
        </w:rPr>
        <w:t xml:space="preserve"> part of the data and regular meetings with the supervisor.</w:t>
      </w:r>
    </w:p>
    <w:p w14:paraId="05172ADC" w14:textId="77777777" w:rsidR="009B487B" w:rsidRDefault="009B487B">
      <w:pPr>
        <w:rPr>
          <w:b/>
          <w:sz w:val="24"/>
          <w:szCs w:val="24"/>
        </w:rPr>
      </w:pPr>
    </w:p>
    <w:p w14:paraId="64D3E96D" w14:textId="77777777" w:rsidR="009B487B" w:rsidRDefault="00000000">
      <w:pPr>
        <w:rPr>
          <w:b/>
          <w:sz w:val="24"/>
          <w:szCs w:val="24"/>
        </w:rPr>
      </w:pPr>
      <w:r>
        <w:rPr>
          <w:b/>
          <w:sz w:val="24"/>
          <w:szCs w:val="24"/>
        </w:rPr>
        <w:t>Results</w:t>
      </w:r>
    </w:p>
    <w:p w14:paraId="30AEDA95" w14:textId="77777777" w:rsidR="009B487B" w:rsidRDefault="009B487B">
      <w:pPr>
        <w:rPr>
          <w:b/>
          <w:sz w:val="24"/>
          <w:szCs w:val="24"/>
        </w:rPr>
      </w:pPr>
    </w:p>
    <w:p w14:paraId="3F0453C1" w14:textId="77777777" w:rsidR="009B487B" w:rsidRDefault="00000000">
      <w:pPr>
        <w:rPr>
          <w:b/>
          <w:sz w:val="24"/>
          <w:szCs w:val="24"/>
        </w:rPr>
      </w:pPr>
      <w:r>
        <w:rPr>
          <w:sz w:val="24"/>
          <w:szCs w:val="24"/>
        </w:rPr>
        <w:t>In the following sections, the results obtained from the analysis are given in two sections. Initially, the distribution of culture in reading and writing texts is shown. Then, the distribution of cultures according to people, places and practices, and objects is displayed.</w:t>
      </w:r>
    </w:p>
    <w:p w14:paraId="240DF3D9" w14:textId="77777777" w:rsidR="009B487B" w:rsidRDefault="009B487B">
      <w:pPr>
        <w:rPr>
          <w:sz w:val="24"/>
          <w:szCs w:val="24"/>
        </w:rPr>
      </w:pPr>
    </w:p>
    <w:p w14:paraId="4650926A" w14:textId="77777777" w:rsidR="009B487B" w:rsidRDefault="00000000">
      <w:pPr>
        <w:rPr>
          <w:b/>
          <w:i/>
          <w:sz w:val="24"/>
          <w:szCs w:val="24"/>
        </w:rPr>
      </w:pPr>
      <w:r>
        <w:rPr>
          <w:b/>
          <w:i/>
          <w:sz w:val="24"/>
          <w:szCs w:val="24"/>
        </w:rPr>
        <w:t>Distribution of culture in reading and writing texts</w:t>
      </w:r>
    </w:p>
    <w:p w14:paraId="1C0DCA65" w14:textId="77777777" w:rsidR="009B487B" w:rsidRDefault="00000000">
      <w:pPr>
        <w:rPr>
          <w:sz w:val="24"/>
          <w:szCs w:val="24"/>
        </w:rPr>
      </w:pPr>
      <w:r>
        <w:rPr>
          <w:sz w:val="24"/>
          <w:szCs w:val="24"/>
        </w:rPr>
        <w:t xml:space="preserve">A total of 190 cultural elements were found in the reading and writing texts. Figure 1 shows the distribution of the source, target, international target cultures and no reference in </w:t>
      </w:r>
      <w:r>
        <w:rPr>
          <w:i/>
          <w:sz w:val="24"/>
          <w:szCs w:val="24"/>
        </w:rPr>
        <w:t>Mastermind</w:t>
      </w:r>
      <w:r>
        <w:rPr>
          <w:sz w:val="24"/>
          <w:szCs w:val="24"/>
        </w:rPr>
        <w:t>.</w:t>
      </w:r>
    </w:p>
    <w:p w14:paraId="581A4F05" w14:textId="77777777" w:rsidR="009B487B" w:rsidRDefault="009B487B">
      <w:pPr>
        <w:rPr>
          <w:sz w:val="24"/>
          <w:szCs w:val="24"/>
        </w:rPr>
      </w:pPr>
    </w:p>
    <w:p w14:paraId="045653DA" w14:textId="77777777" w:rsidR="009B487B" w:rsidRDefault="00000000">
      <w:pPr>
        <w:rPr>
          <w:sz w:val="24"/>
          <w:szCs w:val="24"/>
        </w:rPr>
      </w:pPr>
      <w:r>
        <w:rPr>
          <w:noProof/>
          <w:sz w:val="24"/>
          <w:szCs w:val="24"/>
        </w:rPr>
        <w:drawing>
          <wp:inline distT="0" distB="0" distL="0" distR="0" wp14:anchorId="17EF555E" wp14:editId="53AABD35">
            <wp:extent cx="5890260" cy="3200400"/>
            <wp:effectExtent l="0" t="0" r="0" b="0"/>
            <wp:docPr id="2093995312" name="Chart 20939953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EDB8E49" w14:textId="77777777" w:rsidR="009B487B" w:rsidRDefault="009B487B">
      <w:pPr>
        <w:jc w:val="center"/>
      </w:pPr>
    </w:p>
    <w:p w14:paraId="47EE7A49" w14:textId="77777777" w:rsidR="009B487B" w:rsidRDefault="00000000">
      <w:pPr>
        <w:rPr>
          <w:sz w:val="24"/>
          <w:szCs w:val="24"/>
        </w:rPr>
      </w:pPr>
      <w:r>
        <w:rPr>
          <w:b/>
          <w:sz w:val="24"/>
          <w:szCs w:val="24"/>
        </w:rPr>
        <w:t>Figure 2</w:t>
      </w:r>
      <w:r>
        <w:rPr>
          <w:sz w:val="24"/>
          <w:szCs w:val="24"/>
        </w:rPr>
        <w:t xml:space="preserve">. Distribution of Source, Target, International Target Culture and No Reference in Reading and Writing Texts in </w:t>
      </w:r>
      <w:r>
        <w:rPr>
          <w:i/>
          <w:sz w:val="24"/>
          <w:szCs w:val="24"/>
        </w:rPr>
        <w:t>Mastermind</w:t>
      </w:r>
    </w:p>
    <w:p w14:paraId="22D60E6D" w14:textId="77777777" w:rsidR="009B487B" w:rsidRDefault="009B487B">
      <w:pPr>
        <w:rPr>
          <w:sz w:val="24"/>
          <w:szCs w:val="24"/>
        </w:rPr>
      </w:pPr>
    </w:p>
    <w:p w14:paraId="08F41F27" w14:textId="77777777" w:rsidR="009B487B" w:rsidRDefault="00000000">
      <w:pPr>
        <w:rPr>
          <w:sz w:val="24"/>
          <w:szCs w:val="24"/>
        </w:rPr>
      </w:pPr>
      <w:r>
        <w:rPr>
          <w:sz w:val="24"/>
          <w:szCs w:val="24"/>
        </w:rPr>
        <w:t xml:space="preserve">As Figure 2 shows, more than half of the culture types (111) belonged to the source culture. </w:t>
      </w:r>
      <w:r>
        <w:rPr>
          <w:sz w:val="24"/>
          <w:szCs w:val="24"/>
        </w:rPr>
        <w:lastRenderedPageBreak/>
        <w:t>Some examples are given below:</w:t>
      </w:r>
    </w:p>
    <w:p w14:paraId="185BCD73" w14:textId="77777777" w:rsidR="009B487B" w:rsidRDefault="009B487B">
      <w:pPr>
        <w:rPr>
          <w:sz w:val="24"/>
          <w:szCs w:val="24"/>
        </w:rPr>
      </w:pPr>
    </w:p>
    <w:p w14:paraId="14E563AF" w14:textId="77777777" w:rsidR="009B487B" w:rsidRDefault="00000000">
      <w:pPr>
        <w:numPr>
          <w:ilvl w:val="0"/>
          <w:numId w:val="2"/>
        </w:numPr>
        <w:rPr>
          <w:sz w:val="24"/>
          <w:szCs w:val="24"/>
        </w:rPr>
      </w:pPr>
      <w:r>
        <w:rPr>
          <w:sz w:val="24"/>
          <w:szCs w:val="24"/>
        </w:rPr>
        <w:t>Mete Gazoz (</w:t>
      </w:r>
      <w:r>
        <w:rPr>
          <w:i/>
          <w:sz w:val="24"/>
          <w:szCs w:val="24"/>
        </w:rPr>
        <w:t>Mastermind,</w:t>
      </w:r>
      <w:r>
        <w:rPr>
          <w:sz w:val="24"/>
          <w:szCs w:val="24"/>
        </w:rPr>
        <w:t xml:space="preserve"> p. 28), a Turkish sportsman who became a world champion by winning gold medals at the Tokyo 2020 Olympics and the 2023 World Archery Championship, </w:t>
      </w:r>
    </w:p>
    <w:p w14:paraId="3F2DFF2D" w14:textId="77777777" w:rsidR="009B487B" w:rsidRDefault="00000000">
      <w:pPr>
        <w:numPr>
          <w:ilvl w:val="0"/>
          <w:numId w:val="2"/>
        </w:numPr>
        <w:rPr>
          <w:sz w:val="24"/>
          <w:szCs w:val="24"/>
        </w:rPr>
      </w:pPr>
      <w:proofErr w:type="spellStart"/>
      <w:r>
        <w:rPr>
          <w:sz w:val="24"/>
          <w:szCs w:val="24"/>
        </w:rPr>
        <w:t>Kaş</w:t>
      </w:r>
      <w:proofErr w:type="spellEnd"/>
      <w:r>
        <w:rPr>
          <w:sz w:val="24"/>
          <w:szCs w:val="24"/>
        </w:rPr>
        <w:t>, a district of Antalya province, Türkiye (</w:t>
      </w:r>
      <w:r>
        <w:rPr>
          <w:i/>
          <w:sz w:val="24"/>
          <w:szCs w:val="24"/>
        </w:rPr>
        <w:t>Mastermind</w:t>
      </w:r>
      <w:r>
        <w:rPr>
          <w:sz w:val="24"/>
          <w:szCs w:val="24"/>
        </w:rPr>
        <w:t xml:space="preserve">, p.74), </w:t>
      </w:r>
    </w:p>
    <w:p w14:paraId="62A32994" w14:textId="77777777" w:rsidR="009B487B" w:rsidRDefault="00000000">
      <w:pPr>
        <w:numPr>
          <w:ilvl w:val="0"/>
          <w:numId w:val="2"/>
        </w:numPr>
        <w:rPr>
          <w:sz w:val="24"/>
          <w:szCs w:val="24"/>
        </w:rPr>
      </w:pPr>
      <w:r>
        <w:rPr>
          <w:sz w:val="24"/>
          <w:szCs w:val="24"/>
        </w:rPr>
        <w:t>Kebab that is a dish (</w:t>
      </w:r>
      <w:r>
        <w:rPr>
          <w:i/>
          <w:sz w:val="24"/>
          <w:szCs w:val="24"/>
        </w:rPr>
        <w:t>Mastermind</w:t>
      </w:r>
      <w:r>
        <w:rPr>
          <w:sz w:val="24"/>
          <w:szCs w:val="24"/>
        </w:rPr>
        <w:t xml:space="preserve">, p. 85), </w:t>
      </w:r>
    </w:p>
    <w:p w14:paraId="287EF081" w14:textId="77777777" w:rsidR="009B487B" w:rsidRDefault="00000000">
      <w:pPr>
        <w:numPr>
          <w:ilvl w:val="0"/>
          <w:numId w:val="2"/>
        </w:numPr>
        <w:rPr>
          <w:sz w:val="24"/>
          <w:szCs w:val="24"/>
        </w:rPr>
      </w:pPr>
      <w:proofErr w:type="spellStart"/>
      <w:r>
        <w:rPr>
          <w:sz w:val="24"/>
          <w:szCs w:val="24"/>
        </w:rPr>
        <w:t>Safranbolu</w:t>
      </w:r>
      <w:proofErr w:type="spellEnd"/>
      <w:r>
        <w:rPr>
          <w:sz w:val="24"/>
          <w:szCs w:val="24"/>
        </w:rPr>
        <w:t xml:space="preserve"> houses (</w:t>
      </w:r>
      <w:r>
        <w:rPr>
          <w:i/>
          <w:sz w:val="24"/>
          <w:szCs w:val="24"/>
        </w:rPr>
        <w:t>Mastermind</w:t>
      </w:r>
      <w:r>
        <w:rPr>
          <w:sz w:val="24"/>
          <w:szCs w:val="24"/>
        </w:rPr>
        <w:t xml:space="preserve">, p. 90), </w:t>
      </w:r>
    </w:p>
    <w:p w14:paraId="28DD4142" w14:textId="77777777" w:rsidR="009B487B" w:rsidRDefault="00000000">
      <w:pPr>
        <w:numPr>
          <w:ilvl w:val="0"/>
          <w:numId w:val="2"/>
        </w:numPr>
        <w:rPr>
          <w:sz w:val="24"/>
          <w:szCs w:val="24"/>
        </w:rPr>
      </w:pPr>
      <w:r>
        <w:rPr>
          <w:sz w:val="24"/>
          <w:szCs w:val="24"/>
        </w:rPr>
        <w:t>Sacrifice Feast Eve (</w:t>
      </w:r>
      <w:r>
        <w:rPr>
          <w:i/>
          <w:sz w:val="24"/>
          <w:szCs w:val="24"/>
        </w:rPr>
        <w:t>Mastermind</w:t>
      </w:r>
      <w:r>
        <w:rPr>
          <w:sz w:val="24"/>
          <w:szCs w:val="24"/>
        </w:rPr>
        <w:t>, p. 97), which is a religious holiday celebrated every year by sacrificing animals such as cattle.</w:t>
      </w:r>
    </w:p>
    <w:p w14:paraId="4B1D43E3" w14:textId="77777777" w:rsidR="009B487B" w:rsidRDefault="009B487B">
      <w:pPr>
        <w:ind w:left="720"/>
        <w:rPr>
          <w:sz w:val="24"/>
          <w:szCs w:val="24"/>
        </w:rPr>
      </w:pPr>
    </w:p>
    <w:p w14:paraId="3CC23D2C" w14:textId="77777777" w:rsidR="009B487B" w:rsidRDefault="00000000">
      <w:pPr>
        <w:rPr>
          <w:sz w:val="24"/>
          <w:szCs w:val="24"/>
        </w:rPr>
      </w:pPr>
      <w:r>
        <w:rPr>
          <w:sz w:val="24"/>
          <w:szCs w:val="24"/>
        </w:rPr>
        <w:t xml:space="preserve">Giving cultural values such as Sacrifice Feast Eve is of great importance for students to </w:t>
      </w:r>
      <w:proofErr w:type="spellStart"/>
      <w:r>
        <w:rPr>
          <w:sz w:val="24"/>
          <w:szCs w:val="24"/>
        </w:rPr>
        <w:t>internalise</w:t>
      </w:r>
      <w:proofErr w:type="spellEnd"/>
      <w:r>
        <w:rPr>
          <w:sz w:val="24"/>
          <w:szCs w:val="24"/>
        </w:rPr>
        <w:t xml:space="preserve"> the values of the source culture directly or implicitly through the coursebook. </w:t>
      </w:r>
    </w:p>
    <w:p w14:paraId="02B1956F" w14:textId="77777777" w:rsidR="009B487B" w:rsidRDefault="009B487B">
      <w:pPr>
        <w:rPr>
          <w:sz w:val="24"/>
          <w:szCs w:val="24"/>
        </w:rPr>
      </w:pPr>
    </w:p>
    <w:p w14:paraId="71BE6BA2" w14:textId="77777777" w:rsidR="009B487B" w:rsidRDefault="00000000">
      <w:pPr>
        <w:rPr>
          <w:sz w:val="24"/>
          <w:szCs w:val="24"/>
        </w:rPr>
      </w:pPr>
      <w:r>
        <w:rPr>
          <w:sz w:val="24"/>
          <w:szCs w:val="24"/>
        </w:rPr>
        <w:t>Secondly, 19% of the culture types (37) belonged to the target culture. Some examples are:</w:t>
      </w:r>
    </w:p>
    <w:p w14:paraId="31341B6B" w14:textId="77777777" w:rsidR="009B487B" w:rsidRDefault="009B487B">
      <w:pPr>
        <w:rPr>
          <w:sz w:val="24"/>
          <w:szCs w:val="24"/>
        </w:rPr>
      </w:pPr>
    </w:p>
    <w:p w14:paraId="370CA220" w14:textId="77777777" w:rsidR="009B487B" w:rsidRDefault="00000000">
      <w:pPr>
        <w:numPr>
          <w:ilvl w:val="0"/>
          <w:numId w:val="6"/>
        </w:numPr>
        <w:rPr>
          <w:sz w:val="24"/>
          <w:szCs w:val="24"/>
        </w:rPr>
      </w:pPr>
      <w:r>
        <w:rPr>
          <w:sz w:val="24"/>
          <w:szCs w:val="24"/>
        </w:rPr>
        <w:t>Justin Hall, an American journalist, known as a pioneer blogger (</w:t>
      </w:r>
      <w:r>
        <w:rPr>
          <w:i/>
          <w:sz w:val="24"/>
          <w:szCs w:val="24"/>
        </w:rPr>
        <w:t>Mastermind</w:t>
      </w:r>
      <w:r>
        <w:rPr>
          <w:sz w:val="24"/>
          <w:szCs w:val="24"/>
        </w:rPr>
        <w:t>,</w:t>
      </w:r>
      <w:r>
        <w:rPr>
          <w:i/>
          <w:sz w:val="24"/>
          <w:szCs w:val="24"/>
        </w:rPr>
        <w:t xml:space="preserve"> </w:t>
      </w:r>
      <w:r>
        <w:rPr>
          <w:sz w:val="24"/>
          <w:szCs w:val="24"/>
        </w:rPr>
        <w:t>p. 64),</w:t>
      </w:r>
    </w:p>
    <w:p w14:paraId="7AB47FB0" w14:textId="77777777" w:rsidR="009B487B" w:rsidRDefault="00000000">
      <w:pPr>
        <w:numPr>
          <w:ilvl w:val="0"/>
          <w:numId w:val="6"/>
        </w:numPr>
        <w:rPr>
          <w:sz w:val="24"/>
          <w:szCs w:val="24"/>
        </w:rPr>
      </w:pPr>
      <w:r>
        <w:rPr>
          <w:sz w:val="24"/>
          <w:szCs w:val="24"/>
        </w:rPr>
        <w:t>Edinburgh Castle (</w:t>
      </w:r>
      <w:r>
        <w:rPr>
          <w:i/>
          <w:sz w:val="24"/>
          <w:szCs w:val="24"/>
        </w:rPr>
        <w:t>Mastermind</w:t>
      </w:r>
      <w:r>
        <w:rPr>
          <w:sz w:val="24"/>
          <w:szCs w:val="24"/>
        </w:rPr>
        <w:t>, p. 91),</w:t>
      </w:r>
    </w:p>
    <w:p w14:paraId="79936983" w14:textId="77777777" w:rsidR="009B487B" w:rsidRDefault="00000000">
      <w:pPr>
        <w:numPr>
          <w:ilvl w:val="0"/>
          <w:numId w:val="6"/>
        </w:numPr>
        <w:rPr>
          <w:sz w:val="24"/>
          <w:szCs w:val="24"/>
        </w:rPr>
      </w:pPr>
      <w:r>
        <w:rPr>
          <w:sz w:val="24"/>
          <w:szCs w:val="24"/>
        </w:rPr>
        <w:t>the USA (</w:t>
      </w:r>
      <w:r>
        <w:rPr>
          <w:i/>
          <w:sz w:val="24"/>
          <w:szCs w:val="24"/>
        </w:rPr>
        <w:t>Mastermind</w:t>
      </w:r>
      <w:r>
        <w:rPr>
          <w:sz w:val="24"/>
          <w:szCs w:val="24"/>
        </w:rPr>
        <w:t>, p. 109),</w:t>
      </w:r>
    </w:p>
    <w:p w14:paraId="2743BA0E" w14:textId="77777777" w:rsidR="009B487B" w:rsidRDefault="00000000">
      <w:pPr>
        <w:numPr>
          <w:ilvl w:val="0"/>
          <w:numId w:val="6"/>
        </w:numPr>
        <w:rPr>
          <w:sz w:val="24"/>
          <w:szCs w:val="24"/>
        </w:rPr>
      </w:pPr>
      <w:r>
        <w:rPr>
          <w:sz w:val="24"/>
          <w:szCs w:val="24"/>
        </w:rPr>
        <w:t>Grace Hopper known as the “mother of the computer” (</w:t>
      </w:r>
      <w:r>
        <w:rPr>
          <w:i/>
          <w:sz w:val="24"/>
          <w:szCs w:val="24"/>
        </w:rPr>
        <w:t>Mastermind</w:t>
      </w:r>
      <w:r>
        <w:rPr>
          <w:sz w:val="24"/>
          <w:szCs w:val="24"/>
        </w:rPr>
        <w:t>, p. 111).</w:t>
      </w:r>
    </w:p>
    <w:p w14:paraId="6C45817A" w14:textId="77777777" w:rsidR="009B487B" w:rsidRDefault="009B487B">
      <w:pPr>
        <w:rPr>
          <w:sz w:val="24"/>
          <w:szCs w:val="24"/>
        </w:rPr>
      </w:pPr>
    </w:p>
    <w:p w14:paraId="41850FB8" w14:textId="77777777" w:rsidR="009B487B" w:rsidRDefault="00000000">
      <w:pPr>
        <w:rPr>
          <w:sz w:val="24"/>
          <w:szCs w:val="24"/>
        </w:rPr>
      </w:pPr>
      <w:r>
        <w:rPr>
          <w:sz w:val="24"/>
          <w:szCs w:val="24"/>
        </w:rPr>
        <w:t xml:space="preserve">There was a considerable number of inventors belonging to the target culture. Including these people in the book is of great importance for students to learn about important people from the target culture. </w:t>
      </w:r>
    </w:p>
    <w:p w14:paraId="28B8DCFD" w14:textId="77777777" w:rsidR="009B487B" w:rsidRDefault="009B487B">
      <w:pPr>
        <w:rPr>
          <w:sz w:val="24"/>
          <w:szCs w:val="24"/>
        </w:rPr>
      </w:pPr>
    </w:p>
    <w:p w14:paraId="570292E7" w14:textId="77777777" w:rsidR="009B487B" w:rsidRDefault="00000000">
      <w:pPr>
        <w:rPr>
          <w:sz w:val="24"/>
          <w:szCs w:val="24"/>
        </w:rPr>
      </w:pPr>
      <w:r>
        <w:rPr>
          <w:sz w:val="24"/>
          <w:szCs w:val="24"/>
        </w:rPr>
        <w:t>Thirdly, the international target culture had a rate of 11% (21). Some of the examples from the book are:</w:t>
      </w:r>
    </w:p>
    <w:p w14:paraId="18CA7C37" w14:textId="77777777" w:rsidR="009B487B" w:rsidRDefault="009B487B">
      <w:pPr>
        <w:rPr>
          <w:sz w:val="24"/>
          <w:szCs w:val="24"/>
        </w:rPr>
      </w:pPr>
    </w:p>
    <w:p w14:paraId="2B0C0AB8" w14:textId="77777777" w:rsidR="009B487B" w:rsidRDefault="00000000">
      <w:pPr>
        <w:numPr>
          <w:ilvl w:val="0"/>
          <w:numId w:val="7"/>
        </w:numPr>
        <w:rPr>
          <w:sz w:val="24"/>
          <w:szCs w:val="24"/>
        </w:rPr>
      </w:pPr>
      <w:r>
        <w:rPr>
          <w:sz w:val="24"/>
          <w:szCs w:val="24"/>
        </w:rPr>
        <w:t>Spanish (</w:t>
      </w:r>
      <w:r>
        <w:rPr>
          <w:i/>
          <w:sz w:val="24"/>
          <w:szCs w:val="24"/>
        </w:rPr>
        <w:t>Mastermind</w:t>
      </w:r>
      <w:r>
        <w:rPr>
          <w:sz w:val="24"/>
          <w:szCs w:val="24"/>
        </w:rPr>
        <w:t>, p. 61),</w:t>
      </w:r>
    </w:p>
    <w:p w14:paraId="08040C4A" w14:textId="77777777" w:rsidR="009B487B" w:rsidRDefault="00000000">
      <w:pPr>
        <w:numPr>
          <w:ilvl w:val="0"/>
          <w:numId w:val="7"/>
        </w:numPr>
        <w:rPr>
          <w:sz w:val="24"/>
          <w:szCs w:val="24"/>
        </w:rPr>
      </w:pPr>
      <w:r>
        <w:rPr>
          <w:sz w:val="24"/>
          <w:szCs w:val="24"/>
        </w:rPr>
        <w:t>Felix Baumgartner, an Austrian skydiver (</w:t>
      </w:r>
      <w:r>
        <w:rPr>
          <w:i/>
          <w:sz w:val="24"/>
          <w:szCs w:val="24"/>
        </w:rPr>
        <w:t>Mastermind</w:t>
      </w:r>
      <w:r>
        <w:rPr>
          <w:sz w:val="24"/>
          <w:szCs w:val="24"/>
        </w:rPr>
        <w:t>, p. 77),</w:t>
      </w:r>
    </w:p>
    <w:p w14:paraId="1E582563" w14:textId="77777777" w:rsidR="009B487B" w:rsidRDefault="00000000">
      <w:pPr>
        <w:numPr>
          <w:ilvl w:val="0"/>
          <w:numId w:val="7"/>
        </w:numPr>
        <w:rPr>
          <w:sz w:val="24"/>
          <w:szCs w:val="24"/>
        </w:rPr>
      </w:pPr>
      <w:r>
        <w:rPr>
          <w:sz w:val="24"/>
          <w:szCs w:val="24"/>
        </w:rPr>
        <w:t>Rome (</w:t>
      </w:r>
      <w:r>
        <w:rPr>
          <w:i/>
          <w:sz w:val="24"/>
          <w:szCs w:val="24"/>
        </w:rPr>
        <w:t>Mastermind</w:t>
      </w:r>
      <w:r>
        <w:rPr>
          <w:sz w:val="24"/>
          <w:szCs w:val="24"/>
        </w:rPr>
        <w:t>, p. 86),</w:t>
      </w:r>
    </w:p>
    <w:p w14:paraId="369F0AC7" w14:textId="77777777" w:rsidR="009B487B" w:rsidRDefault="00000000">
      <w:pPr>
        <w:numPr>
          <w:ilvl w:val="0"/>
          <w:numId w:val="7"/>
        </w:numPr>
        <w:rPr>
          <w:sz w:val="24"/>
          <w:szCs w:val="24"/>
        </w:rPr>
      </w:pPr>
      <w:r>
        <w:rPr>
          <w:sz w:val="24"/>
          <w:szCs w:val="24"/>
        </w:rPr>
        <w:t>the Amazon Forest (</w:t>
      </w:r>
      <w:r>
        <w:rPr>
          <w:i/>
          <w:sz w:val="24"/>
          <w:szCs w:val="24"/>
        </w:rPr>
        <w:t>Mastermind</w:t>
      </w:r>
      <w:r>
        <w:rPr>
          <w:sz w:val="24"/>
          <w:szCs w:val="24"/>
        </w:rPr>
        <w:t xml:space="preserve">, p. 122). </w:t>
      </w:r>
    </w:p>
    <w:p w14:paraId="0E6D3688" w14:textId="77777777" w:rsidR="009B487B" w:rsidRDefault="009B487B">
      <w:pPr>
        <w:ind w:left="720"/>
        <w:rPr>
          <w:sz w:val="24"/>
          <w:szCs w:val="24"/>
        </w:rPr>
      </w:pPr>
    </w:p>
    <w:p w14:paraId="0ED1C8C4" w14:textId="77777777" w:rsidR="009B487B" w:rsidRDefault="00000000">
      <w:pPr>
        <w:rPr>
          <w:sz w:val="24"/>
          <w:szCs w:val="24"/>
        </w:rPr>
      </w:pPr>
      <w:r>
        <w:rPr>
          <w:sz w:val="24"/>
          <w:szCs w:val="24"/>
        </w:rPr>
        <w:t xml:space="preserve">The number of elements belonging to that cultural element is significantly low. </w:t>
      </w:r>
    </w:p>
    <w:p w14:paraId="210FB403" w14:textId="77777777" w:rsidR="009B487B" w:rsidRDefault="009B487B">
      <w:pPr>
        <w:rPr>
          <w:sz w:val="24"/>
          <w:szCs w:val="24"/>
        </w:rPr>
      </w:pPr>
    </w:p>
    <w:p w14:paraId="7279A264" w14:textId="77777777" w:rsidR="009B487B" w:rsidRDefault="00000000">
      <w:pPr>
        <w:rPr>
          <w:b/>
          <w:sz w:val="24"/>
          <w:szCs w:val="24"/>
        </w:rPr>
      </w:pPr>
      <w:r>
        <w:rPr>
          <w:sz w:val="24"/>
          <w:szCs w:val="24"/>
        </w:rPr>
        <w:t>Finally, as shown in Figure 2, there were 22 cultural elements that had no cultural reference. This means, these elements were not associated with any cultural origin.</w:t>
      </w:r>
    </w:p>
    <w:p w14:paraId="3F57C539" w14:textId="77777777" w:rsidR="009B487B" w:rsidRDefault="009B487B">
      <w:pPr>
        <w:rPr>
          <w:b/>
          <w:sz w:val="24"/>
          <w:szCs w:val="24"/>
        </w:rPr>
      </w:pPr>
    </w:p>
    <w:p w14:paraId="2535EEF4" w14:textId="77777777" w:rsidR="009B487B" w:rsidRDefault="00000000">
      <w:pPr>
        <w:rPr>
          <w:b/>
          <w:i/>
          <w:sz w:val="24"/>
          <w:szCs w:val="24"/>
        </w:rPr>
      </w:pPr>
      <w:r>
        <w:rPr>
          <w:b/>
          <w:i/>
          <w:sz w:val="24"/>
          <w:szCs w:val="24"/>
        </w:rPr>
        <w:t>Distribution of culture according to people, places and practices and objects in reading and writing texts</w:t>
      </w:r>
    </w:p>
    <w:p w14:paraId="211CD8EA" w14:textId="77777777" w:rsidR="009B487B" w:rsidRDefault="00000000">
      <w:pPr>
        <w:rPr>
          <w:sz w:val="24"/>
          <w:szCs w:val="24"/>
        </w:rPr>
      </w:pPr>
      <w:r>
        <w:rPr>
          <w:sz w:val="24"/>
          <w:szCs w:val="24"/>
        </w:rPr>
        <w:t xml:space="preserve">The data was also examined to determine to what extent people, places and practices, and objects were used for cultural representation. The results are shown in Figure 3. </w:t>
      </w:r>
    </w:p>
    <w:p w14:paraId="6ABA4D6A" w14:textId="77777777" w:rsidR="009B487B" w:rsidRDefault="009B487B">
      <w:pPr>
        <w:rPr>
          <w:sz w:val="24"/>
          <w:szCs w:val="24"/>
        </w:rPr>
      </w:pPr>
    </w:p>
    <w:p w14:paraId="0838D57F" w14:textId="77777777" w:rsidR="009B487B" w:rsidRDefault="00000000">
      <w:pPr>
        <w:rPr>
          <w:sz w:val="24"/>
          <w:szCs w:val="24"/>
        </w:rPr>
      </w:pPr>
      <w:r>
        <w:rPr>
          <w:noProof/>
          <w:sz w:val="24"/>
          <w:szCs w:val="24"/>
        </w:rPr>
        <w:lastRenderedPageBreak/>
        <w:drawing>
          <wp:inline distT="0" distB="0" distL="0" distR="0" wp14:anchorId="58296DB9" wp14:editId="48633962">
            <wp:extent cx="5486400" cy="3200400"/>
            <wp:effectExtent l="0" t="0" r="0" b="0"/>
            <wp:docPr id="2093995313" name="Chart 20939953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7631187" w14:textId="77777777" w:rsidR="009B487B" w:rsidRDefault="009B487B">
      <w:pPr>
        <w:jc w:val="center"/>
      </w:pPr>
    </w:p>
    <w:p w14:paraId="7EA417D8" w14:textId="77777777" w:rsidR="009B487B" w:rsidRDefault="00000000">
      <w:pPr>
        <w:rPr>
          <w:sz w:val="24"/>
          <w:szCs w:val="24"/>
        </w:rPr>
      </w:pPr>
      <w:r>
        <w:rPr>
          <w:b/>
          <w:sz w:val="24"/>
          <w:szCs w:val="24"/>
        </w:rPr>
        <w:t>Figure 3</w:t>
      </w:r>
      <w:r>
        <w:rPr>
          <w:sz w:val="24"/>
          <w:szCs w:val="24"/>
        </w:rPr>
        <w:t>. Distribution of Culture according to People, Places and Practices and Objects in Reading and Writing Texts</w:t>
      </w:r>
    </w:p>
    <w:p w14:paraId="7833B552" w14:textId="77777777" w:rsidR="009B487B" w:rsidRDefault="009B487B">
      <w:pPr>
        <w:rPr>
          <w:sz w:val="24"/>
          <w:szCs w:val="24"/>
        </w:rPr>
      </w:pPr>
    </w:p>
    <w:p w14:paraId="72C014BB" w14:textId="77777777" w:rsidR="009B487B" w:rsidRDefault="00000000">
      <w:pPr>
        <w:rPr>
          <w:sz w:val="24"/>
          <w:szCs w:val="24"/>
        </w:rPr>
      </w:pPr>
      <w:r>
        <w:rPr>
          <w:sz w:val="24"/>
          <w:szCs w:val="24"/>
        </w:rPr>
        <w:t xml:space="preserve">As seen in Figure 3, the number of people in the source culture was more than twice the number of people in the target culture. The number of people in international target cultures and without reference were equal. On the other hand, the source culture had the highest number in places and practices and objects. </w:t>
      </w:r>
    </w:p>
    <w:p w14:paraId="4DE83335" w14:textId="77777777" w:rsidR="009B487B" w:rsidRDefault="00000000">
      <w:pPr>
        <w:rPr>
          <w:sz w:val="24"/>
          <w:szCs w:val="24"/>
        </w:rPr>
      </w:pPr>
      <w:r>
        <w:rPr>
          <w:sz w:val="24"/>
          <w:szCs w:val="24"/>
        </w:rPr>
        <w:t>In terms of people, the coursebook displayed both fictional coursebook characters and people known by the public:</w:t>
      </w:r>
    </w:p>
    <w:p w14:paraId="60015A09" w14:textId="77777777" w:rsidR="009B487B" w:rsidRDefault="009B487B">
      <w:pPr>
        <w:rPr>
          <w:sz w:val="24"/>
          <w:szCs w:val="24"/>
        </w:rPr>
      </w:pPr>
    </w:p>
    <w:p w14:paraId="2EE7E6AF" w14:textId="77777777" w:rsidR="009B487B" w:rsidRDefault="00000000">
      <w:pPr>
        <w:numPr>
          <w:ilvl w:val="0"/>
          <w:numId w:val="4"/>
        </w:numPr>
        <w:rPr>
          <w:sz w:val="24"/>
          <w:szCs w:val="24"/>
        </w:rPr>
      </w:pPr>
      <w:r>
        <w:rPr>
          <w:sz w:val="24"/>
          <w:szCs w:val="24"/>
        </w:rPr>
        <w:t xml:space="preserve"> Kemal (</w:t>
      </w:r>
      <w:r>
        <w:rPr>
          <w:i/>
          <w:sz w:val="24"/>
          <w:szCs w:val="24"/>
        </w:rPr>
        <w:t>Mastermind</w:t>
      </w:r>
      <w:r>
        <w:rPr>
          <w:sz w:val="24"/>
          <w:szCs w:val="24"/>
        </w:rPr>
        <w:t xml:space="preserve">, p. 49), </w:t>
      </w:r>
      <w:proofErr w:type="spellStart"/>
      <w:r>
        <w:rPr>
          <w:sz w:val="24"/>
          <w:szCs w:val="24"/>
        </w:rPr>
        <w:t>İlknur</w:t>
      </w:r>
      <w:proofErr w:type="spellEnd"/>
      <w:r>
        <w:rPr>
          <w:sz w:val="24"/>
          <w:szCs w:val="24"/>
        </w:rPr>
        <w:t xml:space="preserve"> (</w:t>
      </w:r>
      <w:r>
        <w:rPr>
          <w:i/>
          <w:sz w:val="24"/>
          <w:szCs w:val="24"/>
        </w:rPr>
        <w:t>Mastermind</w:t>
      </w:r>
      <w:r>
        <w:rPr>
          <w:sz w:val="24"/>
          <w:szCs w:val="24"/>
        </w:rPr>
        <w:t>, p. 90), Oktay Sinanoğlu who is internationally known as “The Turkish Einstein” (</w:t>
      </w:r>
      <w:r>
        <w:rPr>
          <w:i/>
          <w:sz w:val="24"/>
          <w:szCs w:val="24"/>
        </w:rPr>
        <w:t>Mastermind</w:t>
      </w:r>
      <w:r>
        <w:rPr>
          <w:sz w:val="24"/>
          <w:szCs w:val="24"/>
        </w:rPr>
        <w:t>, p. 118) as members of the source culture,</w:t>
      </w:r>
    </w:p>
    <w:p w14:paraId="11899222" w14:textId="77777777" w:rsidR="009B487B" w:rsidRDefault="00000000">
      <w:pPr>
        <w:numPr>
          <w:ilvl w:val="0"/>
          <w:numId w:val="4"/>
        </w:numPr>
        <w:rPr>
          <w:sz w:val="24"/>
          <w:szCs w:val="24"/>
        </w:rPr>
      </w:pPr>
      <w:r>
        <w:rPr>
          <w:sz w:val="24"/>
          <w:szCs w:val="24"/>
        </w:rPr>
        <w:t>John (</w:t>
      </w:r>
      <w:r>
        <w:rPr>
          <w:i/>
          <w:sz w:val="24"/>
          <w:szCs w:val="24"/>
        </w:rPr>
        <w:t>Mastermind</w:t>
      </w:r>
      <w:r>
        <w:rPr>
          <w:sz w:val="24"/>
          <w:szCs w:val="24"/>
        </w:rPr>
        <w:t>, p. 41), Bob Thomas, an engineer who created the first virus called as Creeper (</w:t>
      </w:r>
      <w:r>
        <w:rPr>
          <w:i/>
          <w:sz w:val="24"/>
          <w:szCs w:val="24"/>
        </w:rPr>
        <w:t>Mastermind</w:t>
      </w:r>
      <w:r>
        <w:rPr>
          <w:sz w:val="24"/>
          <w:szCs w:val="24"/>
        </w:rPr>
        <w:t>, p. 64), Newton (</w:t>
      </w:r>
      <w:r>
        <w:rPr>
          <w:i/>
          <w:sz w:val="24"/>
          <w:szCs w:val="24"/>
        </w:rPr>
        <w:t>Mastermind</w:t>
      </w:r>
      <w:r>
        <w:rPr>
          <w:sz w:val="24"/>
          <w:szCs w:val="24"/>
        </w:rPr>
        <w:t>, p. 110) as members of the target culture,</w:t>
      </w:r>
    </w:p>
    <w:p w14:paraId="65B7CB8F" w14:textId="77777777" w:rsidR="009B487B" w:rsidRDefault="00000000">
      <w:pPr>
        <w:numPr>
          <w:ilvl w:val="0"/>
          <w:numId w:val="4"/>
        </w:numPr>
        <w:rPr>
          <w:sz w:val="24"/>
          <w:szCs w:val="24"/>
        </w:rPr>
      </w:pPr>
      <w:r>
        <w:rPr>
          <w:sz w:val="24"/>
          <w:szCs w:val="24"/>
        </w:rPr>
        <w:t>Albert Einstein (</w:t>
      </w:r>
      <w:r>
        <w:rPr>
          <w:i/>
          <w:sz w:val="24"/>
          <w:szCs w:val="24"/>
        </w:rPr>
        <w:t>Mastermind</w:t>
      </w:r>
      <w:r>
        <w:rPr>
          <w:sz w:val="24"/>
          <w:szCs w:val="24"/>
        </w:rPr>
        <w:t>, p. 115) as a person belonging to the international target cultures.</w:t>
      </w:r>
    </w:p>
    <w:p w14:paraId="57092967" w14:textId="77777777" w:rsidR="009B487B" w:rsidRDefault="009B487B">
      <w:pPr>
        <w:rPr>
          <w:sz w:val="24"/>
          <w:szCs w:val="24"/>
        </w:rPr>
      </w:pPr>
    </w:p>
    <w:p w14:paraId="1586494F" w14:textId="77777777" w:rsidR="009B487B" w:rsidRDefault="00000000">
      <w:pPr>
        <w:rPr>
          <w:sz w:val="24"/>
          <w:szCs w:val="24"/>
        </w:rPr>
      </w:pPr>
      <w:r>
        <w:rPr>
          <w:sz w:val="24"/>
          <w:szCs w:val="24"/>
        </w:rPr>
        <w:t>When looking at places, some examples are shown below:</w:t>
      </w:r>
    </w:p>
    <w:p w14:paraId="5BB71CF6" w14:textId="77777777" w:rsidR="009B487B" w:rsidRDefault="009B487B">
      <w:pPr>
        <w:rPr>
          <w:sz w:val="24"/>
          <w:szCs w:val="24"/>
        </w:rPr>
      </w:pPr>
    </w:p>
    <w:p w14:paraId="1ADEEB3A" w14:textId="77777777" w:rsidR="009B487B" w:rsidRDefault="00000000">
      <w:pPr>
        <w:numPr>
          <w:ilvl w:val="0"/>
          <w:numId w:val="3"/>
        </w:numPr>
        <w:rPr>
          <w:sz w:val="24"/>
          <w:szCs w:val="24"/>
        </w:rPr>
      </w:pPr>
      <w:proofErr w:type="spellStart"/>
      <w:r>
        <w:rPr>
          <w:sz w:val="24"/>
          <w:szCs w:val="24"/>
        </w:rPr>
        <w:t>Fethiye</w:t>
      </w:r>
      <w:proofErr w:type="spellEnd"/>
      <w:r>
        <w:rPr>
          <w:sz w:val="24"/>
          <w:szCs w:val="24"/>
        </w:rPr>
        <w:t xml:space="preserve"> which is a district of </w:t>
      </w:r>
      <w:proofErr w:type="spellStart"/>
      <w:r>
        <w:rPr>
          <w:sz w:val="24"/>
          <w:szCs w:val="24"/>
        </w:rPr>
        <w:t>Muğla</w:t>
      </w:r>
      <w:proofErr w:type="spellEnd"/>
      <w:r>
        <w:rPr>
          <w:sz w:val="24"/>
          <w:szCs w:val="24"/>
        </w:rPr>
        <w:t xml:space="preserve"> province, Türkiye (</w:t>
      </w:r>
      <w:r>
        <w:rPr>
          <w:i/>
          <w:sz w:val="24"/>
          <w:szCs w:val="24"/>
        </w:rPr>
        <w:t>Mastermind</w:t>
      </w:r>
      <w:r>
        <w:rPr>
          <w:sz w:val="24"/>
          <w:szCs w:val="24"/>
        </w:rPr>
        <w:t>, p. 25), Atatürk Street (</w:t>
      </w:r>
      <w:r>
        <w:rPr>
          <w:i/>
          <w:sz w:val="24"/>
          <w:szCs w:val="24"/>
        </w:rPr>
        <w:t>Mastermind</w:t>
      </w:r>
      <w:r>
        <w:rPr>
          <w:sz w:val="24"/>
          <w:szCs w:val="24"/>
        </w:rPr>
        <w:t>, p. 52), Black Sea Region known as one of the regions of Türkiye (</w:t>
      </w:r>
      <w:r>
        <w:rPr>
          <w:i/>
          <w:sz w:val="24"/>
          <w:szCs w:val="24"/>
        </w:rPr>
        <w:t>Mastermind</w:t>
      </w:r>
      <w:r>
        <w:rPr>
          <w:sz w:val="24"/>
          <w:szCs w:val="24"/>
        </w:rPr>
        <w:t>, p. 88) as examples of the source culture,</w:t>
      </w:r>
    </w:p>
    <w:p w14:paraId="74F2CC16" w14:textId="77777777" w:rsidR="009B487B" w:rsidRDefault="00000000">
      <w:pPr>
        <w:numPr>
          <w:ilvl w:val="0"/>
          <w:numId w:val="3"/>
        </w:numPr>
        <w:rPr>
          <w:sz w:val="24"/>
          <w:szCs w:val="24"/>
        </w:rPr>
      </w:pPr>
      <w:r>
        <w:rPr>
          <w:sz w:val="24"/>
          <w:szCs w:val="24"/>
        </w:rPr>
        <w:t>Green Street (</w:t>
      </w:r>
      <w:r>
        <w:rPr>
          <w:i/>
          <w:sz w:val="24"/>
          <w:szCs w:val="24"/>
        </w:rPr>
        <w:t>Mastermind</w:t>
      </w:r>
      <w:r>
        <w:rPr>
          <w:sz w:val="24"/>
          <w:szCs w:val="24"/>
        </w:rPr>
        <w:t>, p. 16), Scotland (</w:t>
      </w:r>
      <w:r>
        <w:rPr>
          <w:i/>
          <w:sz w:val="24"/>
          <w:szCs w:val="24"/>
        </w:rPr>
        <w:t>Mastermind</w:t>
      </w:r>
      <w:r>
        <w:rPr>
          <w:sz w:val="24"/>
          <w:szCs w:val="24"/>
        </w:rPr>
        <w:t>, p. 91), USA (</w:t>
      </w:r>
      <w:r>
        <w:rPr>
          <w:i/>
          <w:sz w:val="24"/>
          <w:szCs w:val="24"/>
        </w:rPr>
        <w:t>Mastermind</w:t>
      </w:r>
      <w:r>
        <w:rPr>
          <w:sz w:val="24"/>
          <w:szCs w:val="24"/>
        </w:rPr>
        <w:t>, p. 109) as examples of the target culture,</w:t>
      </w:r>
    </w:p>
    <w:p w14:paraId="218C54CA" w14:textId="77777777" w:rsidR="009B487B" w:rsidRDefault="00000000">
      <w:pPr>
        <w:numPr>
          <w:ilvl w:val="0"/>
          <w:numId w:val="3"/>
        </w:numPr>
        <w:rPr>
          <w:sz w:val="24"/>
          <w:szCs w:val="24"/>
        </w:rPr>
      </w:pPr>
      <w:r>
        <w:rPr>
          <w:sz w:val="24"/>
          <w:szCs w:val="24"/>
        </w:rPr>
        <w:t>Egypt (</w:t>
      </w:r>
      <w:r>
        <w:rPr>
          <w:i/>
          <w:sz w:val="24"/>
          <w:szCs w:val="24"/>
        </w:rPr>
        <w:t>Mastermind</w:t>
      </w:r>
      <w:r>
        <w:rPr>
          <w:sz w:val="24"/>
          <w:szCs w:val="24"/>
        </w:rPr>
        <w:t>, p. 91), Japan (</w:t>
      </w:r>
      <w:r>
        <w:rPr>
          <w:i/>
          <w:sz w:val="24"/>
          <w:szCs w:val="24"/>
        </w:rPr>
        <w:t>Mastermind</w:t>
      </w:r>
      <w:r>
        <w:rPr>
          <w:sz w:val="24"/>
          <w:szCs w:val="24"/>
        </w:rPr>
        <w:t>, p. 100), Germany (</w:t>
      </w:r>
      <w:r>
        <w:rPr>
          <w:i/>
          <w:sz w:val="24"/>
          <w:szCs w:val="24"/>
        </w:rPr>
        <w:t>Mastermind</w:t>
      </w:r>
      <w:r>
        <w:rPr>
          <w:sz w:val="24"/>
          <w:szCs w:val="24"/>
        </w:rPr>
        <w:t>, p. 115) as examples of the international target cultures,</w:t>
      </w:r>
    </w:p>
    <w:p w14:paraId="1F9D9955" w14:textId="77777777" w:rsidR="009B487B" w:rsidRDefault="00000000">
      <w:pPr>
        <w:numPr>
          <w:ilvl w:val="0"/>
          <w:numId w:val="3"/>
        </w:numPr>
        <w:rPr>
          <w:sz w:val="24"/>
          <w:szCs w:val="24"/>
        </w:rPr>
      </w:pPr>
      <w:r>
        <w:rPr>
          <w:sz w:val="24"/>
          <w:szCs w:val="24"/>
        </w:rPr>
        <w:t>Marina Hotel (</w:t>
      </w:r>
      <w:r>
        <w:rPr>
          <w:i/>
          <w:sz w:val="24"/>
          <w:szCs w:val="24"/>
        </w:rPr>
        <w:t>Mastermind</w:t>
      </w:r>
      <w:r>
        <w:rPr>
          <w:sz w:val="24"/>
          <w:szCs w:val="24"/>
        </w:rPr>
        <w:t>, p. 57) as an example that has no specific reference.</w:t>
      </w:r>
    </w:p>
    <w:p w14:paraId="7C102472" w14:textId="77777777" w:rsidR="009B487B" w:rsidRDefault="009B487B">
      <w:pPr>
        <w:rPr>
          <w:sz w:val="24"/>
          <w:szCs w:val="24"/>
        </w:rPr>
      </w:pPr>
    </w:p>
    <w:p w14:paraId="12533010" w14:textId="77777777" w:rsidR="009B487B" w:rsidRDefault="00000000">
      <w:pPr>
        <w:rPr>
          <w:sz w:val="24"/>
          <w:szCs w:val="24"/>
        </w:rPr>
      </w:pPr>
      <w:r>
        <w:rPr>
          <w:sz w:val="24"/>
          <w:szCs w:val="24"/>
        </w:rPr>
        <w:t>Practices and objects encompassed, for example:</w:t>
      </w:r>
    </w:p>
    <w:p w14:paraId="1C679907" w14:textId="77777777" w:rsidR="009B487B" w:rsidRDefault="009B487B">
      <w:pPr>
        <w:rPr>
          <w:sz w:val="24"/>
          <w:szCs w:val="24"/>
        </w:rPr>
      </w:pPr>
    </w:p>
    <w:p w14:paraId="4D665265" w14:textId="77777777" w:rsidR="009B487B" w:rsidRDefault="00000000">
      <w:pPr>
        <w:numPr>
          <w:ilvl w:val="0"/>
          <w:numId w:val="5"/>
        </w:numPr>
        <w:rPr>
          <w:sz w:val="24"/>
          <w:szCs w:val="24"/>
        </w:rPr>
      </w:pPr>
      <w:proofErr w:type="spellStart"/>
      <w:r>
        <w:rPr>
          <w:sz w:val="24"/>
          <w:szCs w:val="24"/>
        </w:rPr>
        <w:t>Tandır</w:t>
      </w:r>
      <w:proofErr w:type="spellEnd"/>
      <w:r>
        <w:rPr>
          <w:sz w:val="24"/>
          <w:szCs w:val="24"/>
        </w:rPr>
        <w:t>, a traditional Turkish dish (</w:t>
      </w:r>
      <w:r>
        <w:rPr>
          <w:i/>
          <w:sz w:val="24"/>
          <w:szCs w:val="24"/>
        </w:rPr>
        <w:t>Mastermind</w:t>
      </w:r>
      <w:r>
        <w:rPr>
          <w:sz w:val="24"/>
          <w:szCs w:val="24"/>
        </w:rPr>
        <w:t xml:space="preserve">, p. 85), Trojan Horse located in </w:t>
      </w:r>
      <w:proofErr w:type="spellStart"/>
      <w:r>
        <w:rPr>
          <w:sz w:val="24"/>
          <w:szCs w:val="24"/>
        </w:rPr>
        <w:t>Çanakkale</w:t>
      </w:r>
      <w:proofErr w:type="spellEnd"/>
      <w:r>
        <w:rPr>
          <w:sz w:val="24"/>
          <w:szCs w:val="24"/>
        </w:rPr>
        <w:t>, Türkiye (</w:t>
      </w:r>
      <w:r>
        <w:rPr>
          <w:i/>
          <w:sz w:val="24"/>
          <w:szCs w:val="24"/>
        </w:rPr>
        <w:t>Mastermind</w:t>
      </w:r>
      <w:r>
        <w:rPr>
          <w:sz w:val="24"/>
          <w:szCs w:val="24"/>
        </w:rPr>
        <w:t>, p. 86) (source culture),</w:t>
      </w:r>
    </w:p>
    <w:p w14:paraId="6973D703" w14:textId="77777777" w:rsidR="009B487B" w:rsidRDefault="00000000">
      <w:pPr>
        <w:numPr>
          <w:ilvl w:val="0"/>
          <w:numId w:val="5"/>
        </w:numPr>
        <w:rPr>
          <w:sz w:val="24"/>
          <w:szCs w:val="24"/>
        </w:rPr>
      </w:pPr>
      <w:r>
        <w:rPr>
          <w:sz w:val="24"/>
          <w:szCs w:val="24"/>
        </w:rPr>
        <w:t>the Mars project (</w:t>
      </w:r>
      <w:r>
        <w:rPr>
          <w:i/>
          <w:sz w:val="24"/>
          <w:szCs w:val="24"/>
        </w:rPr>
        <w:t>Mastermind</w:t>
      </w:r>
      <w:r>
        <w:rPr>
          <w:sz w:val="24"/>
          <w:szCs w:val="24"/>
        </w:rPr>
        <w:t>, p. 115) as an example from the target culture,</w:t>
      </w:r>
    </w:p>
    <w:p w14:paraId="1C0C84A1" w14:textId="77777777" w:rsidR="009B487B" w:rsidRDefault="00000000">
      <w:pPr>
        <w:numPr>
          <w:ilvl w:val="0"/>
          <w:numId w:val="5"/>
        </w:numPr>
        <w:rPr>
          <w:sz w:val="24"/>
          <w:szCs w:val="24"/>
        </w:rPr>
      </w:pPr>
      <w:r>
        <w:rPr>
          <w:sz w:val="24"/>
          <w:szCs w:val="24"/>
        </w:rPr>
        <w:t>the Nobel Prize (</w:t>
      </w:r>
      <w:r>
        <w:rPr>
          <w:i/>
          <w:sz w:val="24"/>
          <w:szCs w:val="24"/>
        </w:rPr>
        <w:t>Mastermind</w:t>
      </w:r>
      <w:r>
        <w:rPr>
          <w:sz w:val="24"/>
          <w:szCs w:val="24"/>
        </w:rPr>
        <w:t xml:space="preserve">, p. 109) (no reference). </w:t>
      </w:r>
    </w:p>
    <w:p w14:paraId="2748D59A" w14:textId="77777777" w:rsidR="009B487B" w:rsidRDefault="009B487B">
      <w:pPr>
        <w:ind w:firstLine="720"/>
        <w:rPr>
          <w:sz w:val="24"/>
          <w:szCs w:val="24"/>
        </w:rPr>
      </w:pPr>
    </w:p>
    <w:p w14:paraId="303748DE" w14:textId="77777777" w:rsidR="009B487B" w:rsidRDefault="00000000">
      <w:pPr>
        <w:widowControl/>
        <w:pBdr>
          <w:top w:val="nil"/>
          <w:left w:val="nil"/>
          <w:bottom w:val="nil"/>
          <w:right w:val="nil"/>
          <w:between w:val="nil"/>
        </w:pBdr>
        <w:spacing w:after="160"/>
        <w:rPr>
          <w:b/>
          <w:color w:val="000000"/>
          <w:sz w:val="24"/>
          <w:szCs w:val="24"/>
        </w:rPr>
      </w:pPr>
      <w:r>
        <w:rPr>
          <w:b/>
          <w:color w:val="000000"/>
          <w:sz w:val="24"/>
          <w:szCs w:val="24"/>
        </w:rPr>
        <w:t>Discussion and conclusion</w:t>
      </w:r>
    </w:p>
    <w:p w14:paraId="53F330E8" w14:textId="77777777" w:rsidR="009B487B" w:rsidRDefault="00000000">
      <w:pPr>
        <w:widowControl/>
        <w:pBdr>
          <w:top w:val="nil"/>
          <w:left w:val="nil"/>
          <w:bottom w:val="nil"/>
          <w:right w:val="nil"/>
          <w:between w:val="nil"/>
        </w:pBdr>
        <w:spacing w:after="160"/>
        <w:rPr>
          <w:b/>
          <w:color w:val="000000"/>
          <w:sz w:val="24"/>
          <w:szCs w:val="24"/>
        </w:rPr>
      </w:pPr>
      <w:r>
        <w:rPr>
          <w:sz w:val="24"/>
          <w:szCs w:val="24"/>
        </w:rPr>
        <w:t xml:space="preserve">The aim of this study was to examine the cultural references in reading and writing texts in </w:t>
      </w:r>
      <w:r>
        <w:rPr>
          <w:i/>
          <w:sz w:val="24"/>
          <w:szCs w:val="24"/>
        </w:rPr>
        <w:t>Mastermind</w:t>
      </w:r>
      <w:r>
        <w:rPr>
          <w:sz w:val="24"/>
          <w:szCs w:val="24"/>
        </w:rPr>
        <w:t xml:space="preserve">, a local coursebook for use at Turkish middle schools. In addition, the cultural entities were coded in terms of people, places, and practices and objects. The results of this study are in line with studies evaluating ELT coursebooks published locally in Türkiye. Some studies (e.g., Çelik &amp; Erbay, 2013; Saraç &amp; </w:t>
      </w:r>
      <w:proofErr w:type="spellStart"/>
      <w:r>
        <w:rPr>
          <w:sz w:val="24"/>
          <w:szCs w:val="24"/>
        </w:rPr>
        <w:t>Arıkanç</w:t>
      </w:r>
      <w:proofErr w:type="spellEnd"/>
      <w:r>
        <w:rPr>
          <w:sz w:val="24"/>
          <w:szCs w:val="24"/>
        </w:rPr>
        <w:t xml:space="preserve">, 2010) indicate that elements of Turkish culture are dominant and that elements of the target culture are not included sufficiently. Demirbaş (2013) found that elements of the target culture are more dominant in dialogue and visuals than other cultural elements. Similarly, </w:t>
      </w:r>
      <w:proofErr w:type="spellStart"/>
      <w:r>
        <w:rPr>
          <w:sz w:val="24"/>
          <w:szCs w:val="24"/>
        </w:rPr>
        <w:t>Kırkgöz</w:t>
      </w:r>
      <w:proofErr w:type="spellEnd"/>
      <w:r>
        <w:rPr>
          <w:sz w:val="24"/>
          <w:szCs w:val="24"/>
        </w:rPr>
        <w:t xml:space="preserve"> and </w:t>
      </w:r>
      <w:proofErr w:type="spellStart"/>
      <w:r>
        <w:rPr>
          <w:sz w:val="24"/>
          <w:szCs w:val="24"/>
        </w:rPr>
        <w:t>Ağçam</w:t>
      </w:r>
      <w:proofErr w:type="spellEnd"/>
      <w:r>
        <w:rPr>
          <w:sz w:val="24"/>
          <w:szCs w:val="24"/>
        </w:rPr>
        <w:t xml:space="preserve"> (2011) reported on a dominance of elements of the local and target culture, while international target cultures are less considered.</w:t>
      </w:r>
    </w:p>
    <w:p w14:paraId="33A82054" w14:textId="77777777" w:rsidR="009B487B" w:rsidRDefault="00000000">
      <w:pPr>
        <w:widowControl/>
        <w:pBdr>
          <w:top w:val="nil"/>
          <w:left w:val="nil"/>
          <w:bottom w:val="nil"/>
          <w:right w:val="nil"/>
          <w:between w:val="nil"/>
        </w:pBdr>
        <w:spacing w:after="160"/>
        <w:rPr>
          <w:b/>
          <w:color w:val="000000"/>
          <w:sz w:val="24"/>
          <w:szCs w:val="24"/>
        </w:rPr>
      </w:pPr>
      <w:r>
        <w:rPr>
          <w:sz w:val="24"/>
          <w:szCs w:val="24"/>
        </w:rPr>
        <w:t xml:space="preserve">While the cultural elements used in Mastermind cover a wide range, it should be critically noted that there is a strong focus on people. A stronger consideration of places, and practices and objects of origin other than the source culture would contribute to a more diverse representation of culture in the local coursebook </w:t>
      </w:r>
      <w:proofErr w:type="spellStart"/>
      <w:r>
        <w:rPr>
          <w:sz w:val="24"/>
          <w:szCs w:val="24"/>
        </w:rPr>
        <w:t>analysed</w:t>
      </w:r>
      <w:proofErr w:type="spellEnd"/>
      <w:r>
        <w:rPr>
          <w:sz w:val="24"/>
          <w:szCs w:val="24"/>
        </w:rPr>
        <w:t>.</w:t>
      </w:r>
    </w:p>
    <w:p w14:paraId="53ED0D82" w14:textId="77777777" w:rsidR="009B487B" w:rsidRDefault="009B487B">
      <w:pPr>
        <w:rPr>
          <w:b/>
          <w:sz w:val="24"/>
          <w:szCs w:val="24"/>
        </w:rPr>
      </w:pPr>
    </w:p>
    <w:p w14:paraId="482C09A5" w14:textId="77777777" w:rsidR="009B487B" w:rsidRDefault="00000000">
      <w:pPr>
        <w:rPr>
          <w:b/>
          <w:sz w:val="24"/>
          <w:szCs w:val="24"/>
        </w:rPr>
      </w:pPr>
      <w:bookmarkStart w:id="1" w:name="_heading=h.30j0zll" w:colFirst="0" w:colLast="0"/>
      <w:bookmarkEnd w:id="1"/>
      <w:r>
        <w:rPr>
          <w:b/>
          <w:sz w:val="24"/>
          <w:szCs w:val="24"/>
        </w:rPr>
        <w:t>References</w:t>
      </w:r>
    </w:p>
    <w:p w14:paraId="5C7ADB7A" w14:textId="77777777" w:rsidR="009B487B" w:rsidRDefault="009B487B">
      <w:pPr>
        <w:rPr>
          <w:b/>
          <w:sz w:val="28"/>
          <w:szCs w:val="28"/>
        </w:rPr>
      </w:pPr>
    </w:p>
    <w:p w14:paraId="7042BDAB" w14:textId="77777777" w:rsidR="009B487B" w:rsidRDefault="00000000">
      <w:pPr>
        <w:rPr>
          <w:sz w:val="24"/>
          <w:szCs w:val="24"/>
        </w:rPr>
      </w:pPr>
      <w:r>
        <w:rPr>
          <w:sz w:val="24"/>
          <w:szCs w:val="24"/>
        </w:rPr>
        <w:t xml:space="preserve">Byram, M. (2021). </w:t>
      </w:r>
      <w:r>
        <w:rPr>
          <w:i/>
          <w:sz w:val="24"/>
          <w:szCs w:val="24"/>
        </w:rPr>
        <w:t>Teaching and assessing intercultural communicative competence: Revisited</w:t>
      </w:r>
      <w:r>
        <w:rPr>
          <w:sz w:val="24"/>
          <w:szCs w:val="24"/>
        </w:rPr>
        <w:t xml:space="preserve">. Multilingual Matters. </w:t>
      </w:r>
    </w:p>
    <w:p w14:paraId="4B734DF8" w14:textId="77777777" w:rsidR="009B487B" w:rsidRDefault="009B487B">
      <w:pPr>
        <w:rPr>
          <w:sz w:val="24"/>
          <w:szCs w:val="24"/>
        </w:rPr>
      </w:pPr>
    </w:p>
    <w:p w14:paraId="2182FEE2" w14:textId="77777777" w:rsidR="009B487B" w:rsidRDefault="00000000">
      <w:pPr>
        <w:rPr>
          <w:sz w:val="24"/>
          <w:szCs w:val="24"/>
        </w:rPr>
      </w:pPr>
      <w:proofErr w:type="spellStart"/>
      <w:r>
        <w:rPr>
          <w:sz w:val="24"/>
          <w:szCs w:val="24"/>
        </w:rPr>
        <w:t>Cortazzi</w:t>
      </w:r>
      <w:proofErr w:type="spellEnd"/>
      <w:r>
        <w:rPr>
          <w:sz w:val="24"/>
          <w:szCs w:val="24"/>
        </w:rPr>
        <w:t xml:space="preserve">, M., &amp; Jin, L. (1999). Cultural mirrors: Materials and methods in the EFL classroom. In E. Hinkel (Ed.), </w:t>
      </w:r>
      <w:r>
        <w:rPr>
          <w:i/>
          <w:sz w:val="24"/>
          <w:szCs w:val="24"/>
        </w:rPr>
        <w:t xml:space="preserve">Culture in Second Language Teaching and Learning, </w:t>
      </w:r>
      <w:r>
        <w:rPr>
          <w:sz w:val="24"/>
          <w:szCs w:val="24"/>
        </w:rPr>
        <w:t xml:space="preserve">196-220. Cambridge: Cambridge University Press. </w:t>
      </w:r>
    </w:p>
    <w:p w14:paraId="3978EB22" w14:textId="77777777" w:rsidR="009B487B" w:rsidRDefault="009B487B">
      <w:pPr>
        <w:rPr>
          <w:sz w:val="24"/>
          <w:szCs w:val="24"/>
        </w:rPr>
      </w:pPr>
    </w:p>
    <w:p w14:paraId="6EE158AE" w14:textId="77777777" w:rsidR="009B487B" w:rsidRDefault="00000000">
      <w:pPr>
        <w:rPr>
          <w:sz w:val="24"/>
          <w:szCs w:val="24"/>
        </w:rPr>
      </w:pPr>
      <w:r>
        <w:rPr>
          <w:sz w:val="24"/>
          <w:szCs w:val="24"/>
        </w:rPr>
        <w:t xml:space="preserve">Çelik, S., &amp; Erbay, Ş. (2013). Cultural perspectives of Turkish ELT coursebooks: Do standardized teaching texts incorporate intercultural </w:t>
      </w:r>
      <w:proofErr w:type="gramStart"/>
      <w:r>
        <w:rPr>
          <w:sz w:val="24"/>
          <w:szCs w:val="24"/>
        </w:rPr>
        <w:t>features?.</w:t>
      </w:r>
      <w:proofErr w:type="gramEnd"/>
      <w:r>
        <w:rPr>
          <w:sz w:val="24"/>
          <w:szCs w:val="24"/>
        </w:rPr>
        <w:t xml:space="preserve"> </w:t>
      </w:r>
      <w:r>
        <w:rPr>
          <w:i/>
          <w:sz w:val="24"/>
          <w:szCs w:val="24"/>
        </w:rPr>
        <w:t>Education and Science, 38</w:t>
      </w:r>
      <w:r>
        <w:rPr>
          <w:sz w:val="24"/>
          <w:szCs w:val="24"/>
        </w:rPr>
        <w:t>(167), 336-351.</w:t>
      </w:r>
    </w:p>
    <w:p w14:paraId="5614098A" w14:textId="77777777" w:rsidR="009B487B" w:rsidRDefault="009B487B">
      <w:pPr>
        <w:rPr>
          <w:sz w:val="24"/>
          <w:szCs w:val="24"/>
        </w:rPr>
      </w:pPr>
    </w:p>
    <w:p w14:paraId="59BED690" w14:textId="77777777" w:rsidR="009B487B" w:rsidRDefault="00000000">
      <w:pPr>
        <w:rPr>
          <w:sz w:val="24"/>
          <w:szCs w:val="24"/>
        </w:rPr>
      </w:pPr>
      <w:r>
        <w:rPr>
          <w:sz w:val="24"/>
          <w:szCs w:val="24"/>
        </w:rPr>
        <w:t xml:space="preserve">Demirbaş, M. N. (2013). Investigating intercultural elements in English coursebooks. </w:t>
      </w:r>
      <w:r>
        <w:rPr>
          <w:i/>
          <w:sz w:val="24"/>
          <w:szCs w:val="24"/>
        </w:rPr>
        <w:t xml:space="preserve">Journal of </w:t>
      </w:r>
      <w:proofErr w:type="spellStart"/>
      <w:r>
        <w:rPr>
          <w:i/>
          <w:sz w:val="24"/>
          <w:szCs w:val="24"/>
        </w:rPr>
        <w:t>Kirsehir</w:t>
      </w:r>
      <w:proofErr w:type="spellEnd"/>
      <w:r>
        <w:rPr>
          <w:i/>
          <w:sz w:val="24"/>
          <w:szCs w:val="24"/>
        </w:rPr>
        <w:t xml:space="preserve"> Education Faculty, 14</w:t>
      </w:r>
      <w:r>
        <w:rPr>
          <w:sz w:val="24"/>
          <w:szCs w:val="24"/>
        </w:rPr>
        <w:t>(2), 291-304.</w:t>
      </w:r>
    </w:p>
    <w:p w14:paraId="093A2D94" w14:textId="77777777" w:rsidR="009B487B" w:rsidRDefault="009B487B">
      <w:pPr>
        <w:rPr>
          <w:sz w:val="24"/>
          <w:szCs w:val="24"/>
        </w:rPr>
      </w:pPr>
    </w:p>
    <w:p w14:paraId="17F34363" w14:textId="77777777" w:rsidR="009B487B" w:rsidRDefault="00000000">
      <w:pPr>
        <w:rPr>
          <w:color w:val="0563C1"/>
          <w:sz w:val="24"/>
          <w:szCs w:val="24"/>
          <w:u w:val="single"/>
        </w:rPr>
      </w:pPr>
      <w:r>
        <w:rPr>
          <w:sz w:val="24"/>
          <w:szCs w:val="24"/>
        </w:rPr>
        <w:t xml:space="preserve">Gül, S., &amp; Sevim, Ö. M. (2021). Values in the 5th grade English textbook and the opinions of English teachers on values education. </w:t>
      </w:r>
      <w:r>
        <w:rPr>
          <w:i/>
          <w:sz w:val="24"/>
          <w:szCs w:val="24"/>
        </w:rPr>
        <w:t>Journal of Values Education, 19</w:t>
      </w:r>
      <w:r>
        <w:rPr>
          <w:sz w:val="24"/>
          <w:szCs w:val="24"/>
        </w:rPr>
        <w:t xml:space="preserve">(42), 187-226. </w:t>
      </w:r>
      <w:hyperlink r:id="rId16">
        <w:r>
          <w:rPr>
            <w:color w:val="0563C1"/>
            <w:sz w:val="24"/>
            <w:szCs w:val="24"/>
            <w:u w:val="single"/>
          </w:rPr>
          <w:t>https://doi.org/10.34234/ded.958187</w:t>
        </w:r>
      </w:hyperlink>
    </w:p>
    <w:p w14:paraId="6A6CDE6A" w14:textId="77777777" w:rsidR="009B487B" w:rsidRDefault="009B487B">
      <w:pPr>
        <w:rPr>
          <w:color w:val="0563C1"/>
          <w:sz w:val="24"/>
          <w:szCs w:val="24"/>
          <w:u w:val="single"/>
        </w:rPr>
      </w:pPr>
    </w:p>
    <w:p w14:paraId="6D9D8436" w14:textId="77777777" w:rsidR="009B487B" w:rsidRDefault="00000000">
      <w:pPr>
        <w:rPr>
          <w:color w:val="000000"/>
          <w:sz w:val="24"/>
          <w:szCs w:val="24"/>
        </w:rPr>
      </w:pPr>
      <w:r>
        <w:rPr>
          <w:color w:val="000000"/>
          <w:sz w:val="24"/>
          <w:szCs w:val="24"/>
        </w:rPr>
        <w:t xml:space="preserve">Hofstede, G., (1991). </w:t>
      </w:r>
      <w:r>
        <w:rPr>
          <w:i/>
          <w:color w:val="000000"/>
          <w:sz w:val="24"/>
          <w:szCs w:val="24"/>
        </w:rPr>
        <w:t>Cultures and organizations: Software of the mind</w:t>
      </w:r>
      <w:r>
        <w:rPr>
          <w:color w:val="000000"/>
          <w:sz w:val="24"/>
          <w:szCs w:val="24"/>
        </w:rPr>
        <w:t>.</w:t>
      </w:r>
      <w:r>
        <w:rPr>
          <w:i/>
          <w:color w:val="000000"/>
          <w:sz w:val="24"/>
          <w:szCs w:val="24"/>
        </w:rPr>
        <w:t xml:space="preserve"> </w:t>
      </w:r>
      <w:r>
        <w:rPr>
          <w:color w:val="000000"/>
          <w:sz w:val="24"/>
          <w:szCs w:val="24"/>
        </w:rPr>
        <w:t>London: McGraw-Hill</w:t>
      </w:r>
    </w:p>
    <w:p w14:paraId="4EE6078C" w14:textId="77777777" w:rsidR="009B487B" w:rsidRDefault="009B487B">
      <w:pPr>
        <w:rPr>
          <w:color w:val="000000"/>
          <w:sz w:val="24"/>
          <w:szCs w:val="24"/>
        </w:rPr>
      </w:pPr>
    </w:p>
    <w:p w14:paraId="69BC707B" w14:textId="77777777" w:rsidR="009B487B" w:rsidRDefault="00000000">
      <w:pPr>
        <w:rPr>
          <w:sz w:val="24"/>
          <w:szCs w:val="24"/>
        </w:rPr>
      </w:pPr>
      <w:proofErr w:type="spellStart"/>
      <w:r>
        <w:rPr>
          <w:color w:val="000000"/>
          <w:sz w:val="24"/>
          <w:szCs w:val="24"/>
        </w:rPr>
        <w:t>İlter</w:t>
      </w:r>
      <w:proofErr w:type="spellEnd"/>
      <w:r>
        <w:rPr>
          <w:color w:val="000000"/>
          <w:sz w:val="24"/>
          <w:szCs w:val="24"/>
        </w:rPr>
        <w:t>, B</w:t>
      </w:r>
      <w:r>
        <w:rPr>
          <w:sz w:val="24"/>
          <w:szCs w:val="24"/>
        </w:rPr>
        <w:t xml:space="preserve">., </w:t>
      </w:r>
      <w:proofErr w:type="spellStart"/>
      <w:r>
        <w:rPr>
          <w:sz w:val="24"/>
          <w:szCs w:val="24"/>
        </w:rPr>
        <w:t>İzgi</w:t>
      </w:r>
      <w:proofErr w:type="spellEnd"/>
      <w:r>
        <w:rPr>
          <w:sz w:val="24"/>
          <w:szCs w:val="24"/>
        </w:rPr>
        <w:t xml:space="preserve">, İ., </w:t>
      </w:r>
      <w:proofErr w:type="spellStart"/>
      <w:r>
        <w:rPr>
          <w:sz w:val="24"/>
          <w:szCs w:val="24"/>
        </w:rPr>
        <w:t>Çavuşer</w:t>
      </w:r>
      <w:proofErr w:type="spellEnd"/>
      <w:r>
        <w:rPr>
          <w:sz w:val="24"/>
          <w:szCs w:val="24"/>
        </w:rPr>
        <w:t xml:space="preserve"> Özdemir, E., </w:t>
      </w:r>
      <w:proofErr w:type="spellStart"/>
      <w:r>
        <w:rPr>
          <w:sz w:val="24"/>
          <w:szCs w:val="24"/>
        </w:rPr>
        <w:t>Türkeri</w:t>
      </w:r>
      <w:proofErr w:type="spellEnd"/>
      <w:r>
        <w:rPr>
          <w:sz w:val="24"/>
          <w:szCs w:val="24"/>
        </w:rPr>
        <w:t xml:space="preserve"> Yeter, A., &amp; </w:t>
      </w:r>
      <w:proofErr w:type="spellStart"/>
      <w:r>
        <w:rPr>
          <w:sz w:val="24"/>
          <w:szCs w:val="24"/>
        </w:rPr>
        <w:t>Çavuşer</w:t>
      </w:r>
      <w:proofErr w:type="spellEnd"/>
      <w:r>
        <w:rPr>
          <w:sz w:val="24"/>
          <w:szCs w:val="24"/>
        </w:rPr>
        <w:t xml:space="preserve"> </w:t>
      </w:r>
      <w:proofErr w:type="spellStart"/>
      <w:r>
        <w:rPr>
          <w:sz w:val="24"/>
          <w:szCs w:val="24"/>
        </w:rPr>
        <w:t>Yünlü</w:t>
      </w:r>
      <w:proofErr w:type="spellEnd"/>
      <w:r>
        <w:rPr>
          <w:sz w:val="24"/>
          <w:szCs w:val="24"/>
        </w:rPr>
        <w:t>, Z. T.</w:t>
      </w:r>
      <w:r>
        <w:rPr>
          <w:color w:val="000000"/>
          <w:sz w:val="24"/>
          <w:szCs w:val="24"/>
        </w:rPr>
        <w:t xml:space="preserve"> (2022). </w:t>
      </w:r>
      <w:r>
        <w:rPr>
          <w:i/>
          <w:color w:val="000000"/>
          <w:sz w:val="24"/>
          <w:szCs w:val="24"/>
        </w:rPr>
        <w:t xml:space="preserve">Mastermind </w:t>
      </w:r>
      <w:proofErr w:type="spellStart"/>
      <w:r>
        <w:rPr>
          <w:i/>
          <w:color w:val="000000"/>
          <w:sz w:val="24"/>
          <w:szCs w:val="24"/>
        </w:rPr>
        <w:t>Ortaokul</w:t>
      </w:r>
      <w:proofErr w:type="spellEnd"/>
      <w:r>
        <w:rPr>
          <w:i/>
          <w:color w:val="000000"/>
          <w:sz w:val="24"/>
          <w:szCs w:val="24"/>
        </w:rPr>
        <w:t xml:space="preserve"> </w:t>
      </w:r>
      <w:proofErr w:type="spellStart"/>
      <w:r>
        <w:rPr>
          <w:i/>
          <w:color w:val="000000"/>
          <w:sz w:val="24"/>
          <w:szCs w:val="24"/>
        </w:rPr>
        <w:t>ve</w:t>
      </w:r>
      <w:proofErr w:type="spellEnd"/>
      <w:r>
        <w:rPr>
          <w:i/>
          <w:color w:val="000000"/>
          <w:sz w:val="24"/>
          <w:szCs w:val="24"/>
        </w:rPr>
        <w:t xml:space="preserve"> İmam Hatip </w:t>
      </w:r>
      <w:proofErr w:type="spellStart"/>
      <w:r>
        <w:rPr>
          <w:i/>
          <w:color w:val="000000"/>
          <w:sz w:val="24"/>
          <w:szCs w:val="24"/>
        </w:rPr>
        <w:t>Ortaokulu</w:t>
      </w:r>
      <w:proofErr w:type="spellEnd"/>
      <w:r>
        <w:rPr>
          <w:i/>
          <w:color w:val="000000"/>
          <w:sz w:val="24"/>
          <w:szCs w:val="24"/>
        </w:rPr>
        <w:t xml:space="preserve"> </w:t>
      </w:r>
      <w:proofErr w:type="spellStart"/>
      <w:r>
        <w:rPr>
          <w:i/>
          <w:color w:val="000000"/>
          <w:sz w:val="24"/>
          <w:szCs w:val="24"/>
        </w:rPr>
        <w:t>İngilizce</w:t>
      </w:r>
      <w:proofErr w:type="spellEnd"/>
      <w:r>
        <w:rPr>
          <w:i/>
          <w:color w:val="000000"/>
          <w:sz w:val="24"/>
          <w:szCs w:val="24"/>
        </w:rPr>
        <w:t xml:space="preserve"> 8 Ders </w:t>
      </w:r>
      <w:proofErr w:type="spellStart"/>
      <w:r>
        <w:rPr>
          <w:i/>
          <w:color w:val="000000"/>
          <w:sz w:val="24"/>
          <w:szCs w:val="24"/>
        </w:rPr>
        <w:t>Kitabı</w:t>
      </w:r>
      <w:proofErr w:type="spellEnd"/>
      <w:r>
        <w:rPr>
          <w:color w:val="000000"/>
          <w:sz w:val="24"/>
          <w:szCs w:val="24"/>
        </w:rPr>
        <w:t>. [</w:t>
      </w:r>
      <w:r>
        <w:rPr>
          <w:i/>
          <w:color w:val="000000"/>
          <w:sz w:val="24"/>
          <w:szCs w:val="24"/>
        </w:rPr>
        <w:t xml:space="preserve">Mastermind </w:t>
      </w:r>
      <w:r>
        <w:rPr>
          <w:i/>
          <w:sz w:val="24"/>
          <w:szCs w:val="24"/>
        </w:rPr>
        <w:t>coursebook for grade 8 in s</w:t>
      </w:r>
      <w:r>
        <w:rPr>
          <w:i/>
          <w:color w:val="000000"/>
          <w:sz w:val="24"/>
          <w:szCs w:val="24"/>
        </w:rPr>
        <w:t xml:space="preserve">econdary and İmam Hatip </w:t>
      </w:r>
      <w:r>
        <w:rPr>
          <w:i/>
          <w:sz w:val="24"/>
          <w:szCs w:val="24"/>
        </w:rPr>
        <w:t>s</w:t>
      </w:r>
      <w:r>
        <w:rPr>
          <w:i/>
          <w:color w:val="000000"/>
          <w:sz w:val="24"/>
          <w:szCs w:val="24"/>
        </w:rPr>
        <w:t xml:space="preserve">econdary </w:t>
      </w:r>
      <w:r>
        <w:rPr>
          <w:i/>
          <w:sz w:val="24"/>
          <w:szCs w:val="24"/>
        </w:rPr>
        <w:t>s</w:t>
      </w:r>
      <w:r>
        <w:rPr>
          <w:i/>
          <w:color w:val="000000"/>
          <w:sz w:val="24"/>
          <w:szCs w:val="24"/>
        </w:rPr>
        <w:t>chool</w:t>
      </w:r>
      <w:r>
        <w:rPr>
          <w:color w:val="000000"/>
          <w:sz w:val="24"/>
          <w:szCs w:val="24"/>
        </w:rPr>
        <w:t xml:space="preserve">]. Devlet </w:t>
      </w:r>
      <w:proofErr w:type="spellStart"/>
      <w:r>
        <w:rPr>
          <w:color w:val="000000"/>
          <w:sz w:val="24"/>
          <w:szCs w:val="24"/>
        </w:rPr>
        <w:t>Kitapları</w:t>
      </w:r>
      <w:proofErr w:type="spellEnd"/>
    </w:p>
    <w:p w14:paraId="7D340ABA" w14:textId="77777777" w:rsidR="009B487B" w:rsidRDefault="009B487B">
      <w:pPr>
        <w:rPr>
          <w:color w:val="000000"/>
          <w:sz w:val="24"/>
          <w:szCs w:val="24"/>
        </w:rPr>
      </w:pPr>
    </w:p>
    <w:p w14:paraId="508C7EED" w14:textId="77777777" w:rsidR="009B487B" w:rsidRDefault="00000000">
      <w:pPr>
        <w:rPr>
          <w:color w:val="000000"/>
          <w:sz w:val="24"/>
          <w:szCs w:val="24"/>
        </w:rPr>
      </w:pPr>
      <w:r>
        <w:rPr>
          <w:color w:val="000000"/>
          <w:sz w:val="24"/>
          <w:szCs w:val="24"/>
        </w:rPr>
        <w:t xml:space="preserve">Johnson, R., Brown, K. (2020). The complexity of culture: An interdisciplinary approach. </w:t>
      </w:r>
      <w:r>
        <w:rPr>
          <w:i/>
          <w:color w:val="000000"/>
          <w:sz w:val="24"/>
          <w:szCs w:val="24"/>
        </w:rPr>
        <w:t>Journal of Social Sciences, 12</w:t>
      </w:r>
      <w:r>
        <w:rPr>
          <w:color w:val="000000"/>
          <w:sz w:val="24"/>
          <w:szCs w:val="24"/>
        </w:rPr>
        <w:t>(4), 211-228.</w:t>
      </w:r>
    </w:p>
    <w:p w14:paraId="38EE1F97" w14:textId="77777777" w:rsidR="009B487B" w:rsidRDefault="009B487B">
      <w:pPr>
        <w:rPr>
          <w:color w:val="000000"/>
          <w:sz w:val="24"/>
          <w:szCs w:val="24"/>
        </w:rPr>
      </w:pPr>
    </w:p>
    <w:p w14:paraId="223EC75D" w14:textId="77777777" w:rsidR="009B487B" w:rsidRDefault="00000000">
      <w:pPr>
        <w:rPr>
          <w:color w:val="0563C1"/>
          <w:sz w:val="24"/>
          <w:szCs w:val="24"/>
          <w:u w:val="single"/>
        </w:rPr>
      </w:pPr>
      <w:proofErr w:type="spellStart"/>
      <w:r>
        <w:rPr>
          <w:sz w:val="24"/>
          <w:szCs w:val="24"/>
        </w:rPr>
        <w:t>Kırkgöz</w:t>
      </w:r>
      <w:proofErr w:type="spellEnd"/>
      <w:r>
        <w:rPr>
          <w:sz w:val="24"/>
          <w:szCs w:val="24"/>
        </w:rPr>
        <w:t xml:space="preserve">, Y., &amp; </w:t>
      </w:r>
      <w:proofErr w:type="spellStart"/>
      <w:r>
        <w:rPr>
          <w:sz w:val="24"/>
          <w:szCs w:val="24"/>
        </w:rPr>
        <w:t>Ağçam</w:t>
      </w:r>
      <w:proofErr w:type="spellEnd"/>
      <w:r>
        <w:rPr>
          <w:sz w:val="24"/>
          <w:szCs w:val="24"/>
        </w:rPr>
        <w:t xml:space="preserve">, R. (2011). Exploring culture in locally published English textbooks for primary education in Turkey. </w:t>
      </w:r>
      <w:r>
        <w:rPr>
          <w:i/>
          <w:sz w:val="24"/>
          <w:szCs w:val="24"/>
        </w:rPr>
        <w:t>CEPS Journal</w:t>
      </w:r>
      <w:r>
        <w:rPr>
          <w:sz w:val="24"/>
          <w:szCs w:val="24"/>
        </w:rPr>
        <w:t xml:space="preserve">, </w:t>
      </w:r>
      <w:r>
        <w:rPr>
          <w:i/>
          <w:sz w:val="24"/>
          <w:szCs w:val="24"/>
        </w:rPr>
        <w:t>1</w:t>
      </w:r>
      <w:r>
        <w:rPr>
          <w:sz w:val="24"/>
          <w:szCs w:val="24"/>
        </w:rPr>
        <w:t xml:space="preserve">(1), 153-167. </w:t>
      </w:r>
      <w:hyperlink r:id="rId17">
        <w:r>
          <w:rPr>
            <w:color w:val="0563C1"/>
            <w:sz w:val="24"/>
            <w:szCs w:val="24"/>
            <w:u w:val="single"/>
          </w:rPr>
          <w:t>https://doi.org/10.26529/cepsj.445</w:t>
        </w:r>
      </w:hyperlink>
    </w:p>
    <w:p w14:paraId="5D72F6A7" w14:textId="77777777" w:rsidR="009B487B" w:rsidRDefault="009B487B">
      <w:pPr>
        <w:rPr>
          <w:color w:val="0563C1"/>
          <w:sz w:val="24"/>
          <w:szCs w:val="24"/>
          <w:u w:val="single"/>
        </w:rPr>
      </w:pPr>
    </w:p>
    <w:p w14:paraId="1E6D4388" w14:textId="77777777" w:rsidR="009B487B" w:rsidRDefault="00000000">
      <w:pPr>
        <w:rPr>
          <w:color w:val="000000"/>
          <w:sz w:val="24"/>
          <w:szCs w:val="24"/>
        </w:rPr>
      </w:pPr>
      <w:proofErr w:type="spellStart"/>
      <w:r>
        <w:rPr>
          <w:color w:val="000000"/>
          <w:sz w:val="24"/>
          <w:szCs w:val="24"/>
        </w:rPr>
        <w:t>Kramsch</w:t>
      </w:r>
      <w:proofErr w:type="spellEnd"/>
      <w:r>
        <w:rPr>
          <w:color w:val="000000"/>
          <w:sz w:val="24"/>
          <w:szCs w:val="24"/>
        </w:rPr>
        <w:t xml:space="preserve">, C. (1995). The cultural component of language teaching. </w:t>
      </w:r>
      <w:r>
        <w:rPr>
          <w:i/>
          <w:color w:val="000000"/>
          <w:sz w:val="24"/>
          <w:szCs w:val="24"/>
        </w:rPr>
        <w:t>Language, Culture and Curriculum, 8</w:t>
      </w:r>
      <w:r>
        <w:rPr>
          <w:color w:val="000000"/>
          <w:sz w:val="24"/>
          <w:szCs w:val="24"/>
        </w:rPr>
        <w:t>(12), 83-92.</w:t>
      </w:r>
    </w:p>
    <w:p w14:paraId="60C46A3B" w14:textId="77777777" w:rsidR="009B487B" w:rsidRDefault="009B487B">
      <w:pPr>
        <w:rPr>
          <w:color w:val="000000"/>
          <w:sz w:val="24"/>
          <w:szCs w:val="24"/>
        </w:rPr>
      </w:pPr>
    </w:p>
    <w:p w14:paraId="6A2C519E" w14:textId="77777777" w:rsidR="009B487B" w:rsidRDefault="00000000">
      <w:pPr>
        <w:rPr>
          <w:color w:val="000000"/>
          <w:sz w:val="24"/>
          <w:szCs w:val="24"/>
          <w:highlight w:val="white"/>
        </w:rPr>
      </w:pPr>
      <w:r>
        <w:rPr>
          <w:sz w:val="24"/>
          <w:szCs w:val="24"/>
        </w:rPr>
        <w:t xml:space="preserve">McGrath, I. (2013). Teaching materials and the roles of EFL/ESL teachers: Practice and Theory. </w:t>
      </w:r>
      <w:r>
        <w:rPr>
          <w:i/>
          <w:sz w:val="24"/>
          <w:szCs w:val="24"/>
        </w:rPr>
        <w:t>Bloomsbury Academic</w:t>
      </w:r>
      <w:r>
        <w:rPr>
          <w:sz w:val="24"/>
          <w:szCs w:val="24"/>
        </w:rPr>
        <w:t xml:space="preserve">. </w:t>
      </w:r>
      <w:r>
        <w:rPr>
          <w:i/>
          <w:sz w:val="24"/>
          <w:szCs w:val="24"/>
        </w:rPr>
        <w:t>1</w:t>
      </w:r>
      <w:r>
        <w:rPr>
          <w:sz w:val="24"/>
          <w:szCs w:val="24"/>
        </w:rPr>
        <w:t xml:space="preserve">(1). </w:t>
      </w:r>
      <w:r>
        <w:rPr>
          <w:color w:val="000000"/>
          <w:sz w:val="24"/>
          <w:szCs w:val="24"/>
          <w:highlight w:val="white"/>
        </w:rPr>
        <w:t>DOI: 10.5040/9781472542076</w:t>
      </w:r>
    </w:p>
    <w:p w14:paraId="414401BA" w14:textId="77777777" w:rsidR="009B487B" w:rsidRDefault="009B487B">
      <w:pPr>
        <w:rPr>
          <w:sz w:val="24"/>
          <w:szCs w:val="24"/>
        </w:rPr>
      </w:pPr>
    </w:p>
    <w:p w14:paraId="6903028D" w14:textId="77777777" w:rsidR="009B487B" w:rsidRDefault="00000000">
      <w:pPr>
        <w:rPr>
          <w:sz w:val="24"/>
          <w:szCs w:val="24"/>
        </w:rPr>
      </w:pPr>
      <w:r>
        <w:rPr>
          <w:sz w:val="24"/>
          <w:szCs w:val="24"/>
        </w:rPr>
        <w:t xml:space="preserve">McKay, S. L. (2004). Teaching English as an international language: The role of culture in Asian contexts. </w:t>
      </w:r>
      <w:r>
        <w:rPr>
          <w:i/>
          <w:sz w:val="24"/>
          <w:szCs w:val="24"/>
        </w:rPr>
        <w:t>The Journal of Asia TEFL, 1</w:t>
      </w:r>
      <w:r>
        <w:rPr>
          <w:sz w:val="24"/>
          <w:szCs w:val="24"/>
        </w:rPr>
        <w:t>(1), 1-22.</w:t>
      </w:r>
    </w:p>
    <w:p w14:paraId="3385CE17" w14:textId="77777777" w:rsidR="009B487B" w:rsidRDefault="009B487B">
      <w:pPr>
        <w:rPr>
          <w:sz w:val="24"/>
          <w:szCs w:val="24"/>
        </w:rPr>
      </w:pPr>
    </w:p>
    <w:p w14:paraId="2F400D4A" w14:textId="77777777" w:rsidR="009B487B" w:rsidRDefault="00000000">
      <w:pPr>
        <w:rPr>
          <w:color w:val="0563C1"/>
          <w:sz w:val="24"/>
          <w:szCs w:val="24"/>
          <w:u w:val="single"/>
        </w:rPr>
      </w:pPr>
      <w:r>
        <w:rPr>
          <w:sz w:val="24"/>
          <w:szCs w:val="24"/>
        </w:rPr>
        <w:t xml:space="preserve">Ministry of National Education. (2018). </w:t>
      </w:r>
      <w:proofErr w:type="spellStart"/>
      <w:r>
        <w:rPr>
          <w:sz w:val="24"/>
          <w:szCs w:val="24"/>
        </w:rPr>
        <w:t>İngilizce</w:t>
      </w:r>
      <w:proofErr w:type="spellEnd"/>
      <w:r>
        <w:rPr>
          <w:sz w:val="24"/>
          <w:szCs w:val="24"/>
        </w:rPr>
        <w:t xml:space="preserve"> </w:t>
      </w:r>
      <w:proofErr w:type="spellStart"/>
      <w:r>
        <w:rPr>
          <w:sz w:val="24"/>
          <w:szCs w:val="24"/>
        </w:rPr>
        <w:t>dersi</w:t>
      </w:r>
      <w:proofErr w:type="spellEnd"/>
      <w:r>
        <w:rPr>
          <w:sz w:val="24"/>
          <w:szCs w:val="24"/>
        </w:rPr>
        <w:t xml:space="preserve"> </w:t>
      </w:r>
      <w:proofErr w:type="spellStart"/>
      <w:r>
        <w:rPr>
          <w:sz w:val="24"/>
          <w:szCs w:val="24"/>
        </w:rPr>
        <w:t>öğretim</w:t>
      </w:r>
      <w:proofErr w:type="spellEnd"/>
      <w:r>
        <w:rPr>
          <w:sz w:val="24"/>
          <w:szCs w:val="24"/>
        </w:rPr>
        <w:t xml:space="preserve"> </w:t>
      </w:r>
      <w:proofErr w:type="spellStart"/>
      <w:r>
        <w:rPr>
          <w:sz w:val="24"/>
          <w:szCs w:val="24"/>
        </w:rPr>
        <w:t>programı</w:t>
      </w:r>
      <w:proofErr w:type="spellEnd"/>
      <w:r>
        <w:rPr>
          <w:sz w:val="24"/>
          <w:szCs w:val="24"/>
        </w:rPr>
        <w:t xml:space="preserve"> 9-12. [English Language Curriculum for Grades 9-12]. </w:t>
      </w:r>
      <w:hyperlink r:id="rId18">
        <w:r>
          <w:rPr>
            <w:color w:val="0563C1"/>
            <w:sz w:val="24"/>
            <w:szCs w:val="24"/>
            <w:u w:val="single"/>
          </w:rPr>
          <w:t>https://mufredat.meb.gov.tr</w:t>
        </w:r>
      </w:hyperlink>
    </w:p>
    <w:p w14:paraId="474AADEB" w14:textId="77777777" w:rsidR="009B487B" w:rsidRDefault="009B487B">
      <w:pPr>
        <w:rPr>
          <w:color w:val="0563C1"/>
          <w:sz w:val="24"/>
          <w:szCs w:val="24"/>
          <w:u w:val="single"/>
        </w:rPr>
      </w:pPr>
    </w:p>
    <w:p w14:paraId="16FEE8A4" w14:textId="77777777" w:rsidR="009B487B" w:rsidRDefault="00000000">
      <w:pPr>
        <w:rPr>
          <w:sz w:val="24"/>
          <w:szCs w:val="24"/>
        </w:rPr>
      </w:pPr>
      <w:r>
        <w:rPr>
          <w:color w:val="000000"/>
          <w:sz w:val="24"/>
          <w:szCs w:val="24"/>
        </w:rPr>
        <w:t xml:space="preserve">Nunan, D. (2003). Practical English language teaching. </w:t>
      </w:r>
      <w:r>
        <w:rPr>
          <w:i/>
          <w:color w:val="000000"/>
          <w:sz w:val="24"/>
          <w:szCs w:val="24"/>
        </w:rPr>
        <w:t>McGraw-Hill</w:t>
      </w:r>
      <w:r>
        <w:rPr>
          <w:color w:val="000000"/>
          <w:sz w:val="24"/>
          <w:szCs w:val="24"/>
        </w:rPr>
        <w:t>.</w:t>
      </w:r>
    </w:p>
    <w:p w14:paraId="4C2F8E01" w14:textId="77777777" w:rsidR="009B487B" w:rsidRDefault="009B487B">
      <w:pPr>
        <w:rPr>
          <w:color w:val="000000"/>
          <w:sz w:val="24"/>
          <w:szCs w:val="24"/>
        </w:rPr>
      </w:pPr>
    </w:p>
    <w:p w14:paraId="57679F91" w14:textId="77777777" w:rsidR="009B487B" w:rsidRDefault="00000000">
      <w:pPr>
        <w:widowControl/>
        <w:rPr>
          <w:sz w:val="24"/>
          <w:szCs w:val="24"/>
          <w:highlight w:val="white"/>
        </w:rPr>
      </w:pPr>
      <w:r>
        <w:rPr>
          <w:sz w:val="24"/>
          <w:szCs w:val="24"/>
        </w:rPr>
        <w:t xml:space="preserve">Rathert, S. (2023). Local coursebooks as promoters of teaching for international communication? – A case study. In T. </w:t>
      </w:r>
      <w:proofErr w:type="spellStart"/>
      <w:r>
        <w:rPr>
          <w:sz w:val="24"/>
          <w:szCs w:val="24"/>
        </w:rPr>
        <w:t>Tinnefeld</w:t>
      </w:r>
      <w:proofErr w:type="spellEnd"/>
      <w:r>
        <w:rPr>
          <w:sz w:val="24"/>
          <w:szCs w:val="24"/>
        </w:rPr>
        <w:t xml:space="preserve"> (Ed.). </w:t>
      </w:r>
      <w:r>
        <w:rPr>
          <w:i/>
          <w:sz w:val="24"/>
          <w:szCs w:val="24"/>
          <w:highlight w:val="white"/>
        </w:rPr>
        <w:t xml:space="preserve">Bridging language boundaries. Explorations in communication across borders </w:t>
      </w:r>
      <w:r>
        <w:rPr>
          <w:sz w:val="24"/>
          <w:szCs w:val="24"/>
          <w:highlight w:val="white"/>
        </w:rPr>
        <w:t>(</w:t>
      </w:r>
      <w:proofErr w:type="spellStart"/>
      <w:r>
        <w:rPr>
          <w:sz w:val="24"/>
          <w:szCs w:val="24"/>
          <w:highlight w:val="white"/>
        </w:rPr>
        <w:t>Saarbrücken</w:t>
      </w:r>
      <w:proofErr w:type="spellEnd"/>
      <w:r>
        <w:rPr>
          <w:sz w:val="24"/>
          <w:szCs w:val="24"/>
          <w:highlight w:val="white"/>
        </w:rPr>
        <w:t xml:space="preserve"> Series on Linguistics and Language Methodology)</w:t>
      </w:r>
      <w:r>
        <w:rPr>
          <w:i/>
          <w:sz w:val="24"/>
          <w:szCs w:val="24"/>
          <w:highlight w:val="white"/>
        </w:rPr>
        <w:t xml:space="preserve"> (</w:t>
      </w:r>
      <w:r>
        <w:rPr>
          <w:sz w:val="24"/>
          <w:szCs w:val="24"/>
          <w:highlight w:val="white"/>
        </w:rPr>
        <w:t xml:space="preserve">pp. 71-87). </w:t>
      </w:r>
      <w:proofErr w:type="spellStart"/>
      <w:r>
        <w:rPr>
          <w:sz w:val="24"/>
          <w:szCs w:val="24"/>
          <w:highlight w:val="white"/>
        </w:rPr>
        <w:t>htw</w:t>
      </w:r>
      <w:proofErr w:type="spellEnd"/>
      <w:r>
        <w:rPr>
          <w:sz w:val="24"/>
          <w:szCs w:val="24"/>
          <w:highlight w:val="white"/>
        </w:rPr>
        <w:t xml:space="preserve"> </w:t>
      </w:r>
      <w:proofErr w:type="spellStart"/>
      <w:r>
        <w:rPr>
          <w:sz w:val="24"/>
          <w:szCs w:val="24"/>
          <w:highlight w:val="white"/>
        </w:rPr>
        <w:t>saar</w:t>
      </w:r>
      <w:proofErr w:type="spellEnd"/>
      <w:r>
        <w:rPr>
          <w:sz w:val="24"/>
          <w:szCs w:val="24"/>
          <w:highlight w:val="white"/>
        </w:rPr>
        <w:t xml:space="preserve">. </w:t>
      </w:r>
      <w:r>
        <w:rPr>
          <w:sz w:val="24"/>
          <w:szCs w:val="24"/>
        </w:rPr>
        <w:t>https://drive.google.com/file/d/1Ya86ard7xy3_F5uqgBEvaoAN-9DJ7g4S/view</w:t>
      </w:r>
    </w:p>
    <w:p w14:paraId="3D616A66" w14:textId="77777777" w:rsidR="009B487B" w:rsidRDefault="009B487B">
      <w:pPr>
        <w:rPr>
          <w:color w:val="000000"/>
          <w:sz w:val="24"/>
          <w:szCs w:val="24"/>
        </w:rPr>
      </w:pPr>
    </w:p>
    <w:p w14:paraId="5D3B9409" w14:textId="77777777" w:rsidR="009B487B" w:rsidRDefault="00000000">
      <w:pPr>
        <w:rPr>
          <w:color w:val="0563C1"/>
          <w:sz w:val="24"/>
          <w:szCs w:val="24"/>
          <w:u w:val="single"/>
        </w:rPr>
      </w:pPr>
      <w:r>
        <w:rPr>
          <w:color w:val="000000"/>
          <w:sz w:val="24"/>
          <w:szCs w:val="24"/>
        </w:rPr>
        <w:t xml:space="preserve">Rathert, S., &amp; </w:t>
      </w:r>
      <w:proofErr w:type="spellStart"/>
      <w:r>
        <w:rPr>
          <w:color w:val="000000"/>
          <w:sz w:val="24"/>
          <w:szCs w:val="24"/>
        </w:rPr>
        <w:t>Cabaroğlu</w:t>
      </w:r>
      <w:proofErr w:type="spellEnd"/>
      <w:r>
        <w:rPr>
          <w:color w:val="000000"/>
          <w:sz w:val="24"/>
          <w:szCs w:val="24"/>
        </w:rPr>
        <w:t xml:space="preserve">, N. (2022). </w:t>
      </w:r>
      <w:proofErr w:type="spellStart"/>
      <w:r>
        <w:rPr>
          <w:color w:val="000000"/>
          <w:sz w:val="24"/>
          <w:szCs w:val="24"/>
        </w:rPr>
        <w:t>Theorising</w:t>
      </w:r>
      <w:proofErr w:type="spellEnd"/>
      <w:r>
        <w:rPr>
          <w:color w:val="000000"/>
          <w:sz w:val="24"/>
          <w:szCs w:val="24"/>
        </w:rPr>
        <w:t xml:space="preserve"> textbook adaptation in English language teaching. </w:t>
      </w:r>
      <w:r>
        <w:rPr>
          <w:i/>
          <w:color w:val="000000"/>
          <w:sz w:val="24"/>
          <w:szCs w:val="24"/>
        </w:rPr>
        <w:t>CEPS Journal, 12</w:t>
      </w:r>
      <w:r>
        <w:rPr>
          <w:color w:val="000000"/>
          <w:sz w:val="24"/>
          <w:szCs w:val="24"/>
        </w:rPr>
        <w:t xml:space="preserve">(2), 169-188. </w:t>
      </w:r>
      <w:hyperlink r:id="rId19">
        <w:r>
          <w:rPr>
            <w:color w:val="0563C1"/>
            <w:sz w:val="24"/>
            <w:szCs w:val="24"/>
            <w:u w:val="single"/>
          </w:rPr>
          <w:t>https://doi.org/10.25656/01:25227</w:t>
        </w:r>
      </w:hyperlink>
    </w:p>
    <w:p w14:paraId="51AAF3F6" w14:textId="77777777" w:rsidR="009B487B" w:rsidRDefault="009B487B">
      <w:pPr>
        <w:rPr>
          <w:color w:val="0563C1"/>
          <w:sz w:val="24"/>
          <w:szCs w:val="24"/>
          <w:u w:val="single"/>
        </w:rPr>
      </w:pPr>
    </w:p>
    <w:p w14:paraId="265E0447" w14:textId="77777777" w:rsidR="009B487B" w:rsidRDefault="00000000">
      <w:pPr>
        <w:rPr>
          <w:color w:val="000000"/>
          <w:sz w:val="24"/>
          <w:szCs w:val="24"/>
        </w:rPr>
      </w:pPr>
      <w:r>
        <w:rPr>
          <w:color w:val="000000"/>
          <w:sz w:val="24"/>
          <w:szCs w:val="24"/>
        </w:rPr>
        <w:t xml:space="preserve">Saraç, H., &amp; </w:t>
      </w:r>
      <w:proofErr w:type="spellStart"/>
      <w:r>
        <w:rPr>
          <w:color w:val="000000"/>
          <w:sz w:val="24"/>
          <w:szCs w:val="24"/>
        </w:rPr>
        <w:t>Arıkanç</w:t>
      </w:r>
      <w:proofErr w:type="spellEnd"/>
      <w:r>
        <w:rPr>
          <w:color w:val="000000"/>
          <w:sz w:val="24"/>
          <w:szCs w:val="24"/>
        </w:rPr>
        <w:t xml:space="preserve">, A. (2010). </w:t>
      </w:r>
      <w:proofErr w:type="spellStart"/>
      <w:r>
        <w:rPr>
          <w:color w:val="000000"/>
          <w:sz w:val="24"/>
          <w:szCs w:val="24"/>
        </w:rPr>
        <w:t>Yabancı</w:t>
      </w:r>
      <w:proofErr w:type="spellEnd"/>
      <w:r>
        <w:rPr>
          <w:color w:val="000000"/>
          <w:sz w:val="24"/>
          <w:szCs w:val="24"/>
        </w:rPr>
        <w:t xml:space="preserve"> </w:t>
      </w:r>
      <w:proofErr w:type="spellStart"/>
      <w:r>
        <w:rPr>
          <w:color w:val="000000"/>
          <w:sz w:val="24"/>
          <w:szCs w:val="24"/>
        </w:rPr>
        <w:t>dil</w:t>
      </w:r>
      <w:proofErr w:type="spellEnd"/>
      <w:r>
        <w:rPr>
          <w:color w:val="000000"/>
          <w:sz w:val="24"/>
          <w:szCs w:val="24"/>
        </w:rPr>
        <w:t xml:space="preserve"> </w:t>
      </w:r>
      <w:proofErr w:type="spellStart"/>
      <w:r>
        <w:rPr>
          <w:color w:val="000000"/>
          <w:sz w:val="24"/>
          <w:szCs w:val="24"/>
        </w:rPr>
        <w:t>ders</w:t>
      </w:r>
      <w:proofErr w:type="spellEnd"/>
      <w:r>
        <w:rPr>
          <w:color w:val="000000"/>
          <w:sz w:val="24"/>
          <w:szCs w:val="24"/>
        </w:rPr>
        <w:t xml:space="preserve"> </w:t>
      </w:r>
      <w:proofErr w:type="spellStart"/>
      <w:r>
        <w:rPr>
          <w:color w:val="000000"/>
          <w:sz w:val="24"/>
          <w:szCs w:val="24"/>
        </w:rPr>
        <w:t>kitaplarında</w:t>
      </w:r>
      <w:proofErr w:type="spellEnd"/>
      <w:r>
        <w:rPr>
          <w:color w:val="000000"/>
          <w:sz w:val="24"/>
          <w:szCs w:val="24"/>
        </w:rPr>
        <w:t xml:space="preserve"> </w:t>
      </w:r>
      <w:proofErr w:type="spellStart"/>
      <w:r>
        <w:rPr>
          <w:color w:val="000000"/>
          <w:sz w:val="24"/>
          <w:szCs w:val="24"/>
        </w:rPr>
        <w:t>hedef</w:t>
      </w:r>
      <w:proofErr w:type="spellEnd"/>
      <w:r>
        <w:rPr>
          <w:color w:val="000000"/>
          <w:sz w:val="24"/>
          <w:szCs w:val="24"/>
        </w:rPr>
        <w:t xml:space="preserve"> </w:t>
      </w:r>
      <w:proofErr w:type="spellStart"/>
      <w:r>
        <w:rPr>
          <w:color w:val="000000"/>
          <w:sz w:val="24"/>
          <w:szCs w:val="24"/>
        </w:rPr>
        <w:t>kültür</w:t>
      </w:r>
      <w:proofErr w:type="spellEnd"/>
      <w:r>
        <w:rPr>
          <w:color w:val="000000"/>
          <w:sz w:val="24"/>
          <w:szCs w:val="24"/>
        </w:rPr>
        <w:t xml:space="preserve"> </w:t>
      </w:r>
      <w:proofErr w:type="spellStart"/>
      <w:r>
        <w:rPr>
          <w:color w:val="000000"/>
          <w:sz w:val="24"/>
          <w:szCs w:val="24"/>
        </w:rPr>
        <w:t>bilgisini</w:t>
      </w:r>
      <w:proofErr w:type="spellEnd"/>
      <w:r>
        <w:rPr>
          <w:color w:val="000000"/>
          <w:sz w:val="24"/>
          <w:szCs w:val="24"/>
        </w:rPr>
        <w:t xml:space="preserve"> </w:t>
      </w:r>
      <w:proofErr w:type="spellStart"/>
      <w:r>
        <w:rPr>
          <w:color w:val="000000"/>
          <w:sz w:val="24"/>
          <w:szCs w:val="24"/>
        </w:rPr>
        <w:t>incelemede</w:t>
      </w:r>
      <w:proofErr w:type="spellEnd"/>
      <w:r>
        <w:rPr>
          <w:color w:val="000000"/>
          <w:sz w:val="24"/>
          <w:szCs w:val="24"/>
        </w:rPr>
        <w:t xml:space="preserve"> </w:t>
      </w:r>
      <w:proofErr w:type="spellStart"/>
      <w:r>
        <w:rPr>
          <w:color w:val="000000"/>
          <w:sz w:val="24"/>
          <w:szCs w:val="24"/>
        </w:rPr>
        <w:t>kullanılabilecek</w:t>
      </w:r>
      <w:proofErr w:type="spellEnd"/>
      <w:r>
        <w:rPr>
          <w:color w:val="000000"/>
          <w:sz w:val="24"/>
          <w:szCs w:val="24"/>
        </w:rPr>
        <w:t xml:space="preserve"> </w:t>
      </w:r>
      <w:proofErr w:type="spellStart"/>
      <w:r>
        <w:rPr>
          <w:color w:val="000000"/>
          <w:sz w:val="24"/>
          <w:szCs w:val="24"/>
        </w:rPr>
        <w:t>kontrol</w:t>
      </w:r>
      <w:proofErr w:type="spellEnd"/>
      <w:r>
        <w:rPr>
          <w:color w:val="000000"/>
          <w:sz w:val="24"/>
          <w:szCs w:val="24"/>
        </w:rPr>
        <w:t xml:space="preserve"> </w:t>
      </w:r>
      <w:proofErr w:type="spellStart"/>
      <w:r>
        <w:rPr>
          <w:color w:val="000000"/>
          <w:sz w:val="24"/>
          <w:szCs w:val="24"/>
        </w:rPr>
        <w:t>listesi</w:t>
      </w:r>
      <w:proofErr w:type="spellEnd"/>
      <w:r>
        <w:rPr>
          <w:color w:val="000000"/>
          <w:sz w:val="24"/>
          <w:szCs w:val="24"/>
        </w:rPr>
        <w:t xml:space="preserve"> </w:t>
      </w:r>
      <w:proofErr w:type="spellStart"/>
      <w:r>
        <w:rPr>
          <w:color w:val="000000"/>
          <w:sz w:val="24"/>
          <w:szCs w:val="24"/>
        </w:rPr>
        <w:t>uygulaması</w:t>
      </w:r>
      <w:proofErr w:type="spellEnd"/>
      <w:r>
        <w:rPr>
          <w:color w:val="000000"/>
          <w:sz w:val="24"/>
          <w:szCs w:val="24"/>
        </w:rPr>
        <w:t xml:space="preserve">. [Checklist application that can be used to examine target culture knowledge in foreign language textbooks]. </w:t>
      </w:r>
      <w:proofErr w:type="spellStart"/>
      <w:r>
        <w:rPr>
          <w:i/>
          <w:color w:val="000000"/>
          <w:sz w:val="24"/>
          <w:szCs w:val="24"/>
        </w:rPr>
        <w:t>Hitit</w:t>
      </w:r>
      <w:proofErr w:type="spellEnd"/>
      <w:r>
        <w:rPr>
          <w:i/>
          <w:color w:val="000000"/>
          <w:sz w:val="24"/>
          <w:szCs w:val="24"/>
        </w:rPr>
        <w:t xml:space="preserve"> University Journal of Social Sciences, </w:t>
      </w:r>
      <w:r>
        <w:rPr>
          <w:color w:val="000000"/>
          <w:sz w:val="24"/>
          <w:szCs w:val="24"/>
        </w:rPr>
        <w:t>1-2, 45-56</w:t>
      </w:r>
    </w:p>
    <w:p w14:paraId="7FD6DE72" w14:textId="77777777" w:rsidR="009B487B" w:rsidRDefault="009B487B">
      <w:pPr>
        <w:rPr>
          <w:color w:val="000000"/>
          <w:sz w:val="24"/>
          <w:szCs w:val="24"/>
        </w:rPr>
      </w:pPr>
    </w:p>
    <w:p w14:paraId="7120C6A1" w14:textId="77777777" w:rsidR="009B487B" w:rsidRDefault="00000000">
      <w:pPr>
        <w:rPr>
          <w:i/>
          <w:color w:val="000000"/>
          <w:sz w:val="24"/>
          <w:szCs w:val="24"/>
        </w:rPr>
      </w:pPr>
      <w:proofErr w:type="spellStart"/>
      <w:r>
        <w:rPr>
          <w:color w:val="000000"/>
          <w:sz w:val="24"/>
          <w:szCs w:val="24"/>
        </w:rPr>
        <w:t>Toprak</w:t>
      </w:r>
      <w:r>
        <w:rPr>
          <w:sz w:val="24"/>
          <w:szCs w:val="24"/>
        </w:rPr>
        <w:t>c</w:t>
      </w:r>
      <w:r>
        <w:rPr>
          <w:color w:val="000000"/>
          <w:sz w:val="24"/>
          <w:szCs w:val="24"/>
        </w:rPr>
        <w:t>ı</w:t>
      </w:r>
      <w:proofErr w:type="spellEnd"/>
      <w:r>
        <w:rPr>
          <w:color w:val="000000"/>
          <w:sz w:val="24"/>
          <w:szCs w:val="24"/>
        </w:rPr>
        <w:t xml:space="preserve">, N., &amp; </w:t>
      </w:r>
      <w:proofErr w:type="spellStart"/>
      <w:r>
        <w:rPr>
          <w:color w:val="000000"/>
          <w:sz w:val="24"/>
          <w:szCs w:val="24"/>
        </w:rPr>
        <w:t>Özaydınlı</w:t>
      </w:r>
      <w:proofErr w:type="spellEnd"/>
      <w:r>
        <w:rPr>
          <w:color w:val="000000"/>
          <w:sz w:val="24"/>
          <w:szCs w:val="24"/>
        </w:rPr>
        <w:t xml:space="preserve">, B. (2021). Textbooks in English Language Teaching in view of </w:t>
      </w:r>
      <w:proofErr w:type="spellStart"/>
      <w:r>
        <w:rPr>
          <w:color w:val="000000"/>
          <w:sz w:val="24"/>
          <w:szCs w:val="24"/>
        </w:rPr>
        <w:t>globalisation</w:t>
      </w:r>
      <w:proofErr w:type="spellEnd"/>
      <w:r>
        <w:rPr>
          <w:color w:val="000000"/>
          <w:sz w:val="24"/>
          <w:szCs w:val="24"/>
        </w:rPr>
        <w:t xml:space="preserve">, </w:t>
      </w:r>
      <w:proofErr w:type="spellStart"/>
      <w:r>
        <w:rPr>
          <w:color w:val="000000"/>
          <w:sz w:val="24"/>
          <w:szCs w:val="24"/>
        </w:rPr>
        <w:t>localisation</w:t>
      </w:r>
      <w:proofErr w:type="spellEnd"/>
      <w:r>
        <w:rPr>
          <w:color w:val="000000"/>
          <w:sz w:val="24"/>
          <w:szCs w:val="24"/>
        </w:rPr>
        <w:t xml:space="preserve"> and </w:t>
      </w:r>
      <w:proofErr w:type="spellStart"/>
      <w:r>
        <w:rPr>
          <w:color w:val="000000"/>
          <w:sz w:val="24"/>
          <w:szCs w:val="24"/>
        </w:rPr>
        <w:t>glocalisation</w:t>
      </w:r>
      <w:proofErr w:type="spellEnd"/>
      <w:r>
        <w:rPr>
          <w:color w:val="000000"/>
          <w:sz w:val="24"/>
          <w:szCs w:val="24"/>
        </w:rPr>
        <w:t xml:space="preserve">. </w:t>
      </w:r>
      <w:r>
        <w:rPr>
          <w:i/>
          <w:color w:val="000000"/>
          <w:sz w:val="24"/>
          <w:szCs w:val="24"/>
        </w:rPr>
        <w:t xml:space="preserve">International Online Journal of Education and Teaching (IOJET), 8(2). 853-883. </w:t>
      </w:r>
      <w:hyperlink r:id="rId20">
        <w:r>
          <w:rPr>
            <w:i/>
            <w:color w:val="0563C1"/>
            <w:sz w:val="24"/>
            <w:szCs w:val="24"/>
            <w:u w:val="single"/>
          </w:rPr>
          <w:t>https://iojet.org/index.php/IOJET/article/view/869/638</w:t>
        </w:r>
      </w:hyperlink>
    </w:p>
    <w:p w14:paraId="1170FB36" w14:textId="77777777" w:rsidR="009B487B" w:rsidRDefault="009B487B">
      <w:pPr>
        <w:widowControl/>
        <w:pBdr>
          <w:top w:val="nil"/>
          <w:left w:val="nil"/>
          <w:bottom w:val="nil"/>
          <w:right w:val="nil"/>
          <w:between w:val="nil"/>
        </w:pBdr>
        <w:rPr>
          <w:color w:val="000000"/>
          <w:sz w:val="24"/>
          <w:szCs w:val="24"/>
        </w:rPr>
      </w:pPr>
    </w:p>
    <w:p w14:paraId="36620FAC" w14:textId="77777777" w:rsidR="009B487B" w:rsidRDefault="00000000">
      <w:pPr>
        <w:widowControl/>
        <w:pBdr>
          <w:top w:val="nil"/>
          <w:left w:val="nil"/>
          <w:bottom w:val="nil"/>
          <w:right w:val="nil"/>
          <w:between w:val="nil"/>
        </w:pBdr>
        <w:rPr>
          <w:color w:val="000000"/>
          <w:sz w:val="24"/>
          <w:szCs w:val="24"/>
        </w:rPr>
      </w:pPr>
      <w:r>
        <w:rPr>
          <w:color w:val="000000"/>
          <w:sz w:val="24"/>
          <w:szCs w:val="24"/>
        </w:rPr>
        <w:t xml:space="preserve">Tylor, E. (1920) [1871]. </w:t>
      </w:r>
      <w:r>
        <w:rPr>
          <w:i/>
          <w:color w:val="000000"/>
          <w:sz w:val="24"/>
          <w:szCs w:val="24"/>
        </w:rPr>
        <w:t>Primitive culture</w:t>
      </w:r>
      <w:r>
        <w:rPr>
          <w:color w:val="000000"/>
          <w:sz w:val="24"/>
          <w:szCs w:val="24"/>
        </w:rPr>
        <w:t>. New York: J. P. Putnam’s Sons.</w:t>
      </w:r>
    </w:p>
    <w:p w14:paraId="6B001724" w14:textId="77777777" w:rsidR="009B487B" w:rsidRDefault="00000000">
      <w:pPr>
        <w:widowControl/>
        <w:pBdr>
          <w:top w:val="nil"/>
          <w:left w:val="nil"/>
          <w:bottom w:val="nil"/>
          <w:right w:val="nil"/>
          <w:between w:val="nil"/>
        </w:pBdr>
        <w:rPr>
          <w:color w:val="0563C1"/>
          <w:sz w:val="24"/>
          <w:szCs w:val="24"/>
          <w:u w:val="single"/>
        </w:rPr>
      </w:pPr>
      <w:r>
        <w:rPr>
          <w:color w:val="000000"/>
          <w:sz w:val="24"/>
          <w:szCs w:val="24"/>
        </w:rPr>
        <w:t xml:space="preserve">Yiğit, M. A., </w:t>
      </w:r>
      <w:proofErr w:type="spellStart"/>
      <w:r>
        <w:rPr>
          <w:color w:val="000000"/>
          <w:sz w:val="24"/>
          <w:szCs w:val="24"/>
        </w:rPr>
        <w:t>Dolgunsöz</w:t>
      </w:r>
      <w:proofErr w:type="spellEnd"/>
      <w:r>
        <w:rPr>
          <w:color w:val="000000"/>
          <w:sz w:val="24"/>
          <w:szCs w:val="24"/>
        </w:rPr>
        <w:t xml:space="preserve">, E. (2022). A Cross-National Investigation of Cultural Representations in Iranian and Turkish ELT Coursebooks. </w:t>
      </w:r>
      <w:r>
        <w:rPr>
          <w:i/>
          <w:color w:val="000000"/>
          <w:sz w:val="24"/>
          <w:szCs w:val="24"/>
        </w:rPr>
        <w:t>Acuity: Journal of English Language Pedagogy, Literature and Culture, 7</w:t>
      </w:r>
      <w:r>
        <w:rPr>
          <w:color w:val="000000"/>
          <w:sz w:val="24"/>
          <w:szCs w:val="24"/>
        </w:rPr>
        <w:t xml:space="preserve">(2), 206-219. </w:t>
      </w:r>
      <w:hyperlink r:id="rId21">
        <w:r>
          <w:rPr>
            <w:color w:val="0563C1"/>
            <w:sz w:val="24"/>
            <w:szCs w:val="24"/>
            <w:u w:val="single"/>
          </w:rPr>
          <w:t>https://doi.org/10.35974/acuity.v7i2.2780</w:t>
        </w:r>
      </w:hyperlink>
    </w:p>
    <w:p w14:paraId="7D84C23A" w14:textId="77777777" w:rsidR="009B487B" w:rsidRDefault="009B487B">
      <w:pPr>
        <w:widowControl/>
        <w:pBdr>
          <w:top w:val="nil"/>
          <w:left w:val="nil"/>
          <w:bottom w:val="nil"/>
          <w:right w:val="nil"/>
          <w:between w:val="nil"/>
        </w:pBdr>
        <w:rPr>
          <w:color w:val="0563C1"/>
          <w:sz w:val="24"/>
          <w:szCs w:val="24"/>
          <w:u w:val="single"/>
        </w:rPr>
      </w:pPr>
    </w:p>
    <w:p w14:paraId="691C188A" w14:textId="77777777" w:rsidR="009B487B" w:rsidRDefault="00000000">
      <w:pPr>
        <w:rPr>
          <w:b/>
          <w:sz w:val="24"/>
          <w:szCs w:val="24"/>
        </w:rPr>
      </w:pPr>
      <w:r>
        <w:rPr>
          <w:b/>
          <w:sz w:val="24"/>
          <w:szCs w:val="24"/>
        </w:rPr>
        <w:t xml:space="preserve">Please check the </w:t>
      </w:r>
      <w:r>
        <w:rPr>
          <w:b/>
          <w:sz w:val="24"/>
          <w:szCs w:val="24"/>
          <w:u w:val="single"/>
        </w:rPr>
        <w:t>Pilgrims f2f courses</w:t>
      </w:r>
      <w:r>
        <w:rPr>
          <w:b/>
          <w:sz w:val="24"/>
          <w:szCs w:val="24"/>
        </w:rPr>
        <w:t xml:space="preserve"> at Pilgrims website.</w:t>
      </w:r>
    </w:p>
    <w:p w14:paraId="75E64E81" w14:textId="77777777" w:rsidR="009B487B" w:rsidRDefault="009B487B">
      <w:pPr>
        <w:rPr>
          <w:b/>
          <w:sz w:val="24"/>
          <w:szCs w:val="24"/>
        </w:rPr>
      </w:pPr>
    </w:p>
    <w:p w14:paraId="1F5EAC0B" w14:textId="77777777" w:rsidR="009B487B" w:rsidRDefault="00000000">
      <w:pPr>
        <w:rPr>
          <w:b/>
          <w:sz w:val="24"/>
          <w:szCs w:val="24"/>
        </w:rPr>
      </w:pPr>
      <w:r>
        <w:rPr>
          <w:b/>
          <w:sz w:val="24"/>
          <w:szCs w:val="24"/>
        </w:rPr>
        <w:t xml:space="preserve">Please check the </w:t>
      </w:r>
      <w:r>
        <w:rPr>
          <w:b/>
          <w:sz w:val="24"/>
          <w:szCs w:val="24"/>
          <w:u w:val="single"/>
        </w:rPr>
        <w:t>Pilgrims online courses</w:t>
      </w:r>
      <w:r>
        <w:rPr>
          <w:b/>
          <w:sz w:val="24"/>
          <w:szCs w:val="24"/>
        </w:rPr>
        <w:t xml:space="preserve"> at Pilgrims website.</w:t>
      </w:r>
    </w:p>
    <w:p w14:paraId="0DFADB2B" w14:textId="77777777" w:rsidR="009B487B" w:rsidRDefault="009B487B">
      <w:pPr>
        <w:widowControl/>
        <w:pBdr>
          <w:top w:val="nil"/>
          <w:left w:val="nil"/>
          <w:bottom w:val="nil"/>
          <w:right w:val="nil"/>
          <w:between w:val="nil"/>
        </w:pBdr>
        <w:rPr>
          <w:color w:val="000000"/>
          <w:sz w:val="24"/>
          <w:szCs w:val="24"/>
        </w:rPr>
      </w:pPr>
    </w:p>
    <w:sectPr w:rsidR="009B487B">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71B9E"/>
    <w:multiLevelType w:val="multilevel"/>
    <w:tmpl w:val="5D001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7831A4"/>
    <w:multiLevelType w:val="multilevel"/>
    <w:tmpl w:val="56904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792B28"/>
    <w:multiLevelType w:val="multilevel"/>
    <w:tmpl w:val="CF520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373B40"/>
    <w:multiLevelType w:val="multilevel"/>
    <w:tmpl w:val="746AA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733CD5"/>
    <w:multiLevelType w:val="multilevel"/>
    <w:tmpl w:val="00864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A13916"/>
    <w:multiLevelType w:val="multilevel"/>
    <w:tmpl w:val="A23C76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9E23A6"/>
    <w:multiLevelType w:val="multilevel"/>
    <w:tmpl w:val="9DDC8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040672">
    <w:abstractNumId w:val="5"/>
  </w:num>
  <w:num w:numId="2" w16cid:durableId="370612109">
    <w:abstractNumId w:val="1"/>
  </w:num>
  <w:num w:numId="3" w16cid:durableId="334655774">
    <w:abstractNumId w:val="4"/>
  </w:num>
  <w:num w:numId="4" w16cid:durableId="637149181">
    <w:abstractNumId w:val="0"/>
  </w:num>
  <w:num w:numId="5" w16cid:durableId="937446532">
    <w:abstractNumId w:val="3"/>
  </w:num>
  <w:num w:numId="6" w16cid:durableId="1663193974">
    <w:abstractNumId w:val="6"/>
  </w:num>
  <w:num w:numId="7" w16cid:durableId="837844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87B"/>
    <w:rsid w:val="006944A5"/>
    <w:rsid w:val="009B487B"/>
    <w:rsid w:val="00CA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75FFC"/>
  <w15:docId w15:val="{8FE663DA-263E-4702-8C91-F72C679F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3"/>
    <w:pPr>
      <w:autoSpaceDE w:val="0"/>
      <w:autoSpaceDN w:val="0"/>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ListParagraph">
    <w:name w:val="List Paragraph"/>
    <w:basedOn w:val="Normal"/>
    <w:uiPriority w:val="34"/>
    <w:qFormat/>
    <w:rsid w:val="001C2533"/>
    <w:pPr>
      <w:widowControl/>
      <w:autoSpaceDE/>
      <w:autoSpaceDN/>
      <w:spacing w:after="160" w:line="259" w:lineRule="auto"/>
      <w:ind w:left="720"/>
      <w:contextualSpacing/>
    </w:pPr>
    <w:rPr>
      <w:rFonts w:eastAsiaTheme="minorHAnsi" w:cstheme="minorBidi"/>
      <w:kern w:val="2"/>
      <w:sz w:val="24"/>
      <w:lang w:val="en-GB"/>
    </w:rPr>
  </w:style>
  <w:style w:type="paragraph" w:styleId="NormalWeb">
    <w:name w:val="Normal (Web)"/>
    <w:basedOn w:val="Normal"/>
    <w:uiPriority w:val="99"/>
    <w:semiHidden/>
    <w:unhideWhenUsed/>
    <w:rsid w:val="001C2533"/>
    <w:pPr>
      <w:widowControl/>
      <w:autoSpaceDE/>
      <w:autoSpaceDN/>
      <w:spacing w:before="100" w:beforeAutospacing="1" w:after="100" w:afterAutospacing="1"/>
    </w:pPr>
    <w:rPr>
      <w:sz w:val="24"/>
      <w:szCs w:val="24"/>
      <w:lang w:val="en-GB"/>
    </w:rPr>
  </w:style>
  <w:style w:type="character" w:styleId="Hyperlink">
    <w:name w:val="Hyperlink"/>
    <w:basedOn w:val="DefaultParagraphFont"/>
    <w:uiPriority w:val="99"/>
    <w:unhideWhenUsed/>
    <w:rsid w:val="001C2533"/>
    <w:rPr>
      <w:color w:val="0563C1" w:themeColor="hyperlink"/>
      <w:u w:val="single"/>
    </w:rPr>
  </w:style>
  <w:style w:type="character" w:customStyle="1" w:styleId="zmlenmeyenBahsetme1">
    <w:name w:val="Çözümlenmeyen Bahsetme1"/>
    <w:basedOn w:val="DefaultParagraphFont"/>
    <w:uiPriority w:val="99"/>
    <w:semiHidden/>
    <w:unhideWhenUsed/>
    <w:rsid w:val="00DF3509"/>
    <w:rPr>
      <w:color w:val="605E5C"/>
      <w:shd w:val="clear" w:color="auto" w:fill="E1DFDD"/>
    </w:rPr>
  </w:style>
  <w:style w:type="character" w:styleId="CommentReference">
    <w:name w:val="annotation reference"/>
    <w:basedOn w:val="DefaultParagraphFont"/>
    <w:uiPriority w:val="99"/>
    <w:semiHidden/>
    <w:unhideWhenUsed/>
    <w:rsid w:val="0007492B"/>
    <w:rPr>
      <w:sz w:val="16"/>
      <w:szCs w:val="16"/>
    </w:rPr>
  </w:style>
  <w:style w:type="paragraph" w:styleId="CommentText">
    <w:name w:val="annotation text"/>
    <w:basedOn w:val="Normal"/>
    <w:link w:val="CommentTextChar"/>
    <w:uiPriority w:val="99"/>
    <w:semiHidden/>
    <w:unhideWhenUsed/>
    <w:rsid w:val="0007492B"/>
    <w:rPr>
      <w:sz w:val="20"/>
      <w:szCs w:val="20"/>
    </w:rPr>
  </w:style>
  <w:style w:type="character" w:customStyle="1" w:styleId="CommentTextChar">
    <w:name w:val="Comment Text Char"/>
    <w:basedOn w:val="DefaultParagraphFont"/>
    <w:link w:val="CommentText"/>
    <w:uiPriority w:val="99"/>
    <w:semiHidden/>
    <w:rsid w:val="0007492B"/>
    <w:rPr>
      <w:rFonts w:eastAsia="Times New Roman"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07492B"/>
    <w:rPr>
      <w:b/>
      <w:bCs/>
    </w:rPr>
  </w:style>
  <w:style w:type="character" w:customStyle="1" w:styleId="CommentSubjectChar">
    <w:name w:val="Comment Subject Char"/>
    <w:basedOn w:val="CommentTextChar"/>
    <w:link w:val="CommentSubject"/>
    <w:uiPriority w:val="99"/>
    <w:semiHidden/>
    <w:rsid w:val="0007492B"/>
    <w:rPr>
      <w:rFonts w:eastAsia="Times New Roman" w:cs="Times New Roman"/>
      <w:b/>
      <w:bCs/>
      <w:kern w:val="0"/>
      <w:sz w:val="20"/>
      <w:szCs w:val="20"/>
      <w:lang w:val="en-US"/>
    </w:rPr>
  </w:style>
  <w:style w:type="paragraph" w:styleId="BalloonText">
    <w:name w:val="Balloon Text"/>
    <w:basedOn w:val="Normal"/>
    <w:link w:val="BalloonTextChar"/>
    <w:uiPriority w:val="99"/>
    <w:semiHidden/>
    <w:unhideWhenUsed/>
    <w:rsid w:val="000749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92B"/>
    <w:rPr>
      <w:rFonts w:ascii="Segoe UI" w:eastAsia="Times New Roman" w:hAnsi="Segoe UI" w:cs="Segoe UI"/>
      <w:kern w:val="0"/>
      <w:sz w:val="18"/>
      <w:szCs w:val="18"/>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UnresolvedMention1">
    <w:name w:val="Unresolved Mention1"/>
    <w:basedOn w:val="DefaultParagraphFont"/>
    <w:uiPriority w:val="99"/>
    <w:semiHidden/>
    <w:unhideWhenUsed/>
    <w:rsid w:val="00D80AB1"/>
    <w:rPr>
      <w:color w:val="605E5C"/>
      <w:shd w:val="clear" w:color="auto" w:fill="E1DFDD"/>
    </w:rPr>
  </w:style>
  <w:style w:type="character" w:styleId="UnresolvedMention">
    <w:name w:val="Unresolved Mention"/>
    <w:basedOn w:val="DefaultParagraphFont"/>
    <w:uiPriority w:val="99"/>
    <w:semiHidden/>
    <w:unhideWhenUsed/>
    <w:rsid w:val="00B60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2.png"/><Relationship Id="rId18" Type="http://schemas.openxmlformats.org/officeDocument/2006/relationships/hyperlink" Target="https://mufredat.meb.gov.tr" TargetMode="External"/><Relationship Id="rId3" Type="http://schemas.openxmlformats.org/officeDocument/2006/relationships/styles" Target="styles.xml"/><Relationship Id="rId21" Type="http://schemas.openxmlformats.org/officeDocument/2006/relationships/hyperlink" Target="https://doi.org/10.35974/acuity.v7i2.2780" TargetMode="External"/><Relationship Id="rId12" Type="http://schemas.openxmlformats.org/officeDocument/2006/relationships/image" Target="media/image6.png"/><Relationship Id="rId17" Type="http://schemas.openxmlformats.org/officeDocument/2006/relationships/hyperlink" Target="https://doi.org/10.26529/cepsj.445" TargetMode="External"/><Relationship Id="rId2" Type="http://schemas.openxmlformats.org/officeDocument/2006/relationships/numbering" Target="numbering.xml"/><Relationship Id="rId16" Type="http://schemas.openxmlformats.org/officeDocument/2006/relationships/hyperlink" Target="https://doi.org/10.34234/ded.958187" TargetMode="External"/><Relationship Id="rId20" Type="http://schemas.openxmlformats.org/officeDocument/2006/relationships/hyperlink" Target="https://iojet.org/index.php/IOJET/article/view/869/638" TargetMode="External"/><Relationship Id="rId1" Type="http://schemas.openxmlformats.org/officeDocument/2006/relationships/customXml" Target="../customXml/item1.xml"/><Relationship Id="rId6" Type="http://schemas.openxmlformats.org/officeDocument/2006/relationships/hyperlink" Target="mailto:aysegulyilmaz271@gmail.com"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25656/01:2522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Distribution of culture in reading and writing texts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BED-4373-A9E2-1BD78C7E3E8C}"/>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BED-4373-A9E2-1BD78C7E3E8C}"/>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BBED-4373-A9E2-1BD78C7E3E8C}"/>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BBED-4373-A9E2-1BD78C7E3E8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Sayfa1!$A$2:$A$5</c:f>
              <c:strCache>
                <c:ptCount val="4"/>
                <c:pt idx="0">
                  <c:v>Source Culture</c:v>
                </c:pt>
                <c:pt idx="1">
                  <c:v>Target Culture</c:v>
                </c:pt>
                <c:pt idx="2">
                  <c:v>International Target Culture </c:v>
                </c:pt>
                <c:pt idx="3">
                  <c:v>No reference</c:v>
                </c:pt>
              </c:strCache>
            </c:strRef>
          </c:cat>
          <c:val>
            <c:numRef>
              <c:f>Sayfa1!$B$2:$B$5</c:f>
              <c:numCache>
                <c:formatCode>0%</c:formatCode>
                <c:ptCount val="4"/>
                <c:pt idx="0">
                  <c:v>0.58420000000000005</c:v>
                </c:pt>
                <c:pt idx="1">
                  <c:v>0.19</c:v>
                </c:pt>
                <c:pt idx="2">
                  <c:v>0.11</c:v>
                </c:pt>
                <c:pt idx="3">
                  <c:v>0.11</c:v>
                </c:pt>
              </c:numCache>
            </c:numRef>
          </c:val>
          <c:extLst>
            <c:ext xmlns:c16="http://schemas.microsoft.com/office/drawing/2014/chart" uri="{C3380CC4-5D6E-409C-BE32-E72D297353CC}">
              <c16:uniqueId val="{00000008-BBED-4373-A9E2-1BD78C7E3E8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10417842336331504"/>
          <c:y val="0.89732095988001503"/>
          <c:w val="0.80889196741739755"/>
          <c:h val="6.6964754405699295E-2"/>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People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Source Culture</c:v>
                </c:pt>
                <c:pt idx="1">
                  <c:v>Target Culture</c:v>
                </c:pt>
                <c:pt idx="2">
                  <c:v>International Target Culture</c:v>
                </c:pt>
                <c:pt idx="3">
                  <c:v>No reference</c:v>
                </c:pt>
              </c:strCache>
            </c:strRef>
          </c:cat>
          <c:val>
            <c:numRef>
              <c:f>Sayfa1!$B$2:$B$5</c:f>
              <c:numCache>
                <c:formatCode>General</c:formatCode>
                <c:ptCount val="4"/>
                <c:pt idx="0">
                  <c:v>51</c:v>
                </c:pt>
                <c:pt idx="1">
                  <c:v>25</c:v>
                </c:pt>
                <c:pt idx="2">
                  <c:v>6</c:v>
                </c:pt>
                <c:pt idx="3">
                  <c:v>6</c:v>
                </c:pt>
              </c:numCache>
            </c:numRef>
          </c:val>
          <c:extLst>
            <c:ext xmlns:c16="http://schemas.microsoft.com/office/drawing/2014/chart" uri="{C3380CC4-5D6E-409C-BE32-E72D297353CC}">
              <c16:uniqueId val="{00000000-6A16-41FA-8A53-21C8623EA045}"/>
            </c:ext>
          </c:extLst>
        </c:ser>
        <c:ser>
          <c:idx val="1"/>
          <c:order val="1"/>
          <c:tx>
            <c:strRef>
              <c:f>Sayfa1!$C$1</c:f>
              <c:strCache>
                <c:ptCount val="1"/>
                <c:pt idx="0">
                  <c:v>Places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Source Culture</c:v>
                </c:pt>
                <c:pt idx="1">
                  <c:v>Target Culture</c:v>
                </c:pt>
                <c:pt idx="2">
                  <c:v>International Target Culture</c:v>
                </c:pt>
                <c:pt idx="3">
                  <c:v>No reference</c:v>
                </c:pt>
              </c:strCache>
            </c:strRef>
          </c:cat>
          <c:val>
            <c:numRef>
              <c:f>Sayfa1!$C$2:$C$5</c:f>
              <c:numCache>
                <c:formatCode>General</c:formatCode>
                <c:ptCount val="4"/>
                <c:pt idx="0">
                  <c:v>29</c:v>
                </c:pt>
                <c:pt idx="1">
                  <c:v>4</c:v>
                </c:pt>
                <c:pt idx="2">
                  <c:v>7</c:v>
                </c:pt>
                <c:pt idx="3">
                  <c:v>1</c:v>
                </c:pt>
              </c:numCache>
            </c:numRef>
          </c:val>
          <c:extLst>
            <c:ext xmlns:c16="http://schemas.microsoft.com/office/drawing/2014/chart" uri="{C3380CC4-5D6E-409C-BE32-E72D297353CC}">
              <c16:uniqueId val="{00000001-6A16-41FA-8A53-21C8623EA045}"/>
            </c:ext>
          </c:extLst>
        </c:ser>
        <c:ser>
          <c:idx val="2"/>
          <c:order val="2"/>
          <c:tx>
            <c:strRef>
              <c:f>Sayfa1!$D$1</c:f>
              <c:strCache>
                <c:ptCount val="1"/>
                <c:pt idx="0">
                  <c:v>Practices and Objects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Source Culture</c:v>
                </c:pt>
                <c:pt idx="1">
                  <c:v>Target Culture</c:v>
                </c:pt>
                <c:pt idx="2">
                  <c:v>International Target Culture</c:v>
                </c:pt>
                <c:pt idx="3">
                  <c:v>No reference</c:v>
                </c:pt>
              </c:strCache>
            </c:strRef>
          </c:cat>
          <c:val>
            <c:numRef>
              <c:f>Sayfa1!$D$2:$D$5</c:f>
              <c:numCache>
                <c:formatCode>General</c:formatCode>
                <c:ptCount val="4"/>
                <c:pt idx="0">
                  <c:v>30</c:v>
                </c:pt>
                <c:pt idx="1">
                  <c:v>8</c:v>
                </c:pt>
                <c:pt idx="2">
                  <c:v>8</c:v>
                </c:pt>
                <c:pt idx="3">
                  <c:v>14</c:v>
                </c:pt>
              </c:numCache>
            </c:numRef>
          </c:val>
          <c:extLst>
            <c:ext xmlns:c16="http://schemas.microsoft.com/office/drawing/2014/chart" uri="{C3380CC4-5D6E-409C-BE32-E72D297353CC}">
              <c16:uniqueId val="{00000002-6A16-41FA-8A53-21C8623EA045}"/>
            </c:ext>
          </c:extLst>
        </c:ser>
        <c:dLbls>
          <c:showLegendKey val="0"/>
          <c:showVal val="0"/>
          <c:showCatName val="0"/>
          <c:showSerName val="0"/>
          <c:showPercent val="0"/>
          <c:showBubbleSize val="0"/>
        </c:dLbls>
        <c:gapWidth val="219"/>
        <c:overlap val="-27"/>
        <c:axId val="156603408"/>
        <c:axId val="156596336"/>
      </c:barChart>
      <c:catAx>
        <c:axId val="156603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96336"/>
        <c:crosses val="autoZero"/>
        <c:auto val="1"/>
        <c:lblAlgn val="ctr"/>
        <c:lblOffset val="100"/>
        <c:noMultiLvlLbl val="0"/>
      </c:catAx>
      <c:valAx>
        <c:axId val="156596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603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muPWfZe9xmev7hCnUfaAS4Ohw==">CgMxLjAyCGguZ2pkZ3hzMgloLjMwajB6bGw4AHIhMW9WVnZJX0tETE1pM0x2Y3R6MU5LX2dTMjVhMDJFRlZu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3031</Words>
  <Characters>17282</Characters>
  <Application>Microsoft Office Word</Application>
  <DocSecurity>0</DocSecurity>
  <Lines>144</Lines>
  <Paragraphs>40</Paragraphs>
  <ScaleCrop>false</ScaleCrop>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 YILMAZ</dc:creator>
  <cp:lastModifiedBy>Hanna Kryszewska</cp:lastModifiedBy>
  <cp:revision>2</cp:revision>
  <dcterms:created xsi:type="dcterms:W3CDTF">2024-08-10T09:57:00Z</dcterms:created>
  <dcterms:modified xsi:type="dcterms:W3CDTF">2024-08-10T09:57:00Z</dcterms:modified>
</cp:coreProperties>
</file>