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A848D" w14:textId="77777777" w:rsidR="006F502E" w:rsidRDefault="00000000">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 Comparison of Cultural Elements in EFL Textbooks for 6th Graders used at Turkish and German Schools</w:t>
      </w:r>
    </w:p>
    <w:p w14:paraId="1F7BE506" w14:textId="77777777" w:rsidR="006F502E" w:rsidRDefault="006F502E">
      <w:pPr>
        <w:spacing w:after="0" w:line="240" w:lineRule="auto"/>
        <w:jc w:val="both"/>
        <w:rPr>
          <w:rFonts w:ascii="Times New Roman" w:eastAsia="Times New Roman" w:hAnsi="Times New Roman" w:cs="Times New Roman"/>
          <w:b/>
          <w:sz w:val="24"/>
          <w:szCs w:val="24"/>
        </w:rPr>
      </w:pPr>
    </w:p>
    <w:p w14:paraId="6F0DDBD0" w14:textId="77777777" w:rsidR="006F502E"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Şerife Durna, Türkiye</w:t>
      </w:r>
    </w:p>
    <w:p w14:paraId="01B6A317" w14:textId="77777777" w:rsidR="006F502E" w:rsidRDefault="006F502E">
      <w:pPr>
        <w:spacing w:after="0" w:line="240" w:lineRule="auto"/>
        <w:jc w:val="both"/>
        <w:rPr>
          <w:rFonts w:ascii="Times New Roman" w:eastAsia="Times New Roman" w:hAnsi="Times New Roman" w:cs="Times New Roman"/>
          <w:sz w:val="24"/>
          <w:szCs w:val="24"/>
        </w:rPr>
      </w:pPr>
    </w:p>
    <w:p w14:paraId="569B6BD1"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Şerife Durna is an English Lecturer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Türkiye. She obtained her MA at </w:t>
      </w:r>
      <w:proofErr w:type="spellStart"/>
      <w:r>
        <w:rPr>
          <w:rFonts w:ascii="Times New Roman" w:eastAsia="Times New Roman" w:hAnsi="Times New Roman" w:cs="Times New Roman"/>
          <w:sz w:val="24"/>
          <w:szCs w:val="24"/>
        </w:rPr>
        <w:t>Çağ</w:t>
      </w:r>
      <w:proofErr w:type="spellEnd"/>
      <w:r>
        <w:rPr>
          <w:rFonts w:ascii="Times New Roman" w:eastAsia="Times New Roman" w:hAnsi="Times New Roman" w:cs="Times New Roman"/>
          <w:sz w:val="24"/>
          <w:szCs w:val="24"/>
        </w:rPr>
        <w:t xml:space="preserve"> University, Mersin, Türkiye and she is PhD candidate at </w:t>
      </w:r>
      <w:proofErr w:type="spellStart"/>
      <w:r>
        <w:rPr>
          <w:rFonts w:ascii="Times New Roman" w:eastAsia="Times New Roman" w:hAnsi="Times New Roman" w:cs="Times New Roman"/>
          <w:sz w:val="24"/>
          <w:szCs w:val="24"/>
        </w:rPr>
        <w:t>Erciyes</w:t>
      </w:r>
      <w:proofErr w:type="spellEnd"/>
      <w:r>
        <w:rPr>
          <w:rFonts w:ascii="Times New Roman" w:eastAsia="Times New Roman" w:hAnsi="Times New Roman" w:cs="Times New Roman"/>
          <w:sz w:val="24"/>
          <w:szCs w:val="24"/>
        </w:rPr>
        <w:t xml:space="preserve"> University, Kayseri, Türkiye. Her research interests include culture, teaching English to young learners and curriculum development. E-mail:serifedurna46@gmail.com</w:t>
      </w:r>
    </w:p>
    <w:p w14:paraId="23840F31" w14:textId="77777777" w:rsidR="006F502E" w:rsidRDefault="006F502E">
      <w:pPr>
        <w:spacing w:after="0" w:line="240" w:lineRule="auto"/>
        <w:jc w:val="both"/>
        <w:rPr>
          <w:rFonts w:ascii="Times New Roman" w:eastAsia="Times New Roman" w:hAnsi="Times New Roman" w:cs="Times New Roman"/>
          <w:sz w:val="24"/>
          <w:szCs w:val="24"/>
        </w:rPr>
      </w:pPr>
    </w:p>
    <w:p w14:paraId="1C478240" w14:textId="77777777" w:rsidR="006F502E" w:rsidRDefault="006F502E">
      <w:pPr>
        <w:spacing w:after="0" w:line="240" w:lineRule="auto"/>
        <w:jc w:val="both"/>
        <w:rPr>
          <w:rFonts w:ascii="Times New Roman" w:eastAsia="Times New Roman" w:hAnsi="Times New Roman" w:cs="Times New Roman"/>
          <w:sz w:val="24"/>
          <w:szCs w:val="24"/>
        </w:rPr>
      </w:pPr>
    </w:p>
    <w:p w14:paraId="7E5C949B" w14:textId="77777777" w:rsidR="006F502E"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Note</w:t>
      </w:r>
    </w:p>
    <w:p w14:paraId="40BE09D3" w14:textId="77777777" w:rsidR="006F502E" w:rsidRDefault="006F502E">
      <w:pPr>
        <w:spacing w:after="0" w:line="240" w:lineRule="auto"/>
        <w:jc w:val="both"/>
        <w:rPr>
          <w:rFonts w:ascii="Times New Roman" w:eastAsia="Times New Roman" w:hAnsi="Times New Roman" w:cs="Times New Roman"/>
          <w:b/>
          <w:sz w:val="24"/>
          <w:szCs w:val="24"/>
        </w:rPr>
      </w:pPr>
    </w:p>
    <w:p w14:paraId="558BC5E2"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Preliminary findings of this study were orally presented with the title “Exploring Cultural Elements in EFL Textbooks in Turkish and German Secondary Schools: A Comparative Study on EFL Textbooks for 6th Grade” at 14th International Conference on Teaching, Education and Learning (ICTEL), Lisbon, Portugal, 23-24 May 2017.</w:t>
      </w:r>
    </w:p>
    <w:p w14:paraId="6E334DF5" w14:textId="77777777" w:rsidR="006F502E" w:rsidRDefault="006F502E">
      <w:pPr>
        <w:spacing w:after="0" w:line="240" w:lineRule="auto"/>
        <w:jc w:val="both"/>
        <w:rPr>
          <w:rFonts w:ascii="Times New Roman" w:eastAsia="Times New Roman" w:hAnsi="Times New Roman" w:cs="Times New Roman"/>
          <w:sz w:val="24"/>
          <w:szCs w:val="24"/>
        </w:rPr>
      </w:pPr>
    </w:p>
    <w:p w14:paraId="4142AE8F" w14:textId="77777777" w:rsidR="006F502E" w:rsidRDefault="006F502E">
      <w:pPr>
        <w:spacing w:after="0" w:line="240" w:lineRule="auto"/>
        <w:jc w:val="both"/>
        <w:rPr>
          <w:rFonts w:ascii="Times New Roman" w:eastAsia="Times New Roman" w:hAnsi="Times New Roman" w:cs="Times New Roman"/>
          <w:b/>
          <w:sz w:val="24"/>
          <w:szCs w:val="24"/>
        </w:rPr>
      </w:pPr>
    </w:p>
    <w:p w14:paraId="362F75D9" w14:textId="77777777" w:rsidR="006F502E"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55C8CDC3" w14:textId="77777777" w:rsidR="006F502E" w:rsidRDefault="006F502E">
      <w:pPr>
        <w:spacing w:after="0" w:line="240" w:lineRule="auto"/>
        <w:jc w:val="both"/>
        <w:rPr>
          <w:rFonts w:ascii="Times New Roman" w:eastAsia="Times New Roman" w:hAnsi="Times New Roman" w:cs="Times New Roman"/>
          <w:b/>
          <w:sz w:val="24"/>
          <w:szCs w:val="24"/>
        </w:rPr>
      </w:pPr>
    </w:p>
    <w:p w14:paraId="138A9A11"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Textbooks or coursebooks, as the main source of learning, especially in English as a </w:t>
      </w:r>
      <w:proofErr w:type="gramStart"/>
      <w:r>
        <w:rPr>
          <w:rFonts w:ascii="Times New Roman" w:eastAsia="Times New Roman" w:hAnsi="Times New Roman" w:cs="Times New Roman"/>
          <w:sz w:val="24"/>
          <w:szCs w:val="24"/>
        </w:rPr>
        <w:t>foreign language (EFL) contexts</w:t>
      </w:r>
      <w:proofErr w:type="gramEnd"/>
      <w:r>
        <w:rPr>
          <w:rFonts w:ascii="Times New Roman" w:eastAsia="Times New Roman" w:hAnsi="Times New Roman" w:cs="Times New Roman"/>
          <w:sz w:val="24"/>
          <w:szCs w:val="24"/>
        </w:rPr>
        <w:t xml:space="preserve"> where the language is not spoken in the environment, are important for introducing different cultures as they contain written and visual cultural references. It is vital to evaluate the textbooks from different aspects, and it may give even more insight to compare textbooks produced for different countries. In both Türkiye and Germany, EFL is part of the curriculum as a compulsory course in public secondary schools. While in Germany the selection of EFL textbooks may vary from one federal state to another, in Türkiye the Ministry of National Education selects a certain set of EFL textbooks for all public secondary schools. In this study, an EFL textbook used at public secondary schools in the state of North Rhine-Westphalia (Germany) and a Turkish EFL textbook at the same level were compared in terms of the cultural elements they contain. The cultural elements were examined in three main categories: source culture (Turkish/German), target culture (British/American) and international target culture, and the extent to which the textbooks differ from each other in terms of cultural elements. The results of the quantitative analysis of the cultural elements in the textbooks are presented along with practical implications and suggestions for further research. </w:t>
      </w:r>
    </w:p>
    <w:p w14:paraId="47454B0D" w14:textId="77777777" w:rsidR="006F502E" w:rsidRDefault="006F502E">
      <w:pPr>
        <w:spacing w:after="0" w:line="240" w:lineRule="auto"/>
        <w:jc w:val="both"/>
        <w:rPr>
          <w:rFonts w:ascii="Times New Roman" w:eastAsia="Times New Roman" w:hAnsi="Times New Roman" w:cs="Times New Roman"/>
          <w:b/>
          <w:sz w:val="24"/>
          <w:szCs w:val="24"/>
        </w:rPr>
      </w:pPr>
    </w:p>
    <w:p w14:paraId="485D1980" w14:textId="77777777" w:rsidR="006F502E" w:rsidRDefault="006F502E">
      <w:pPr>
        <w:spacing w:after="0" w:line="240" w:lineRule="auto"/>
        <w:jc w:val="both"/>
        <w:rPr>
          <w:rFonts w:ascii="Times New Roman" w:eastAsia="Times New Roman" w:hAnsi="Times New Roman" w:cs="Times New Roman"/>
          <w:sz w:val="24"/>
          <w:szCs w:val="24"/>
        </w:rPr>
      </w:pPr>
    </w:p>
    <w:p w14:paraId="36A80CEE"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Introduction</w:t>
      </w:r>
    </w:p>
    <w:p w14:paraId="6804E099"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1E293B21"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English has been incorporated into regular school curricula in more than 100 nations as a second or foreign language spoken by over 1.5 billion people (Crystal, 2012). Therefore, the purpose of teaching language in today's globalised society is to equip learners with the skills they will need to acquire and use the language and to prepare them for communication with people from diverse cultural backgrounds. For this reason, intercultural competency training has become increasingly important. Since foreign cultures are the primary source of information in EFL classes, textbooks ought to include allusions to both native English and non-native cultures (Alptekin, 2002;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&amp; Jin, 1999).</w:t>
      </w:r>
    </w:p>
    <w:p w14:paraId="2ECE29E5" w14:textId="77777777" w:rsidR="006F502E" w:rsidRDefault="006F502E">
      <w:pPr>
        <w:spacing w:after="0" w:line="240" w:lineRule="auto"/>
        <w:jc w:val="both"/>
        <w:rPr>
          <w:rFonts w:ascii="Times New Roman" w:eastAsia="Times New Roman" w:hAnsi="Times New Roman" w:cs="Times New Roman"/>
          <w:sz w:val="24"/>
          <w:szCs w:val="24"/>
        </w:rPr>
      </w:pPr>
    </w:p>
    <w:p w14:paraId="362A05EB"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Since textbooks are educational materials, it is imperative that they be appropriately designed to meet the needs of students. Therefore, it becomes even more crucial to assess them, so that programme designers, material developers and educators can make informed judgements about the effect they will exert in learning contexts (</w:t>
      </w:r>
      <w:proofErr w:type="spellStart"/>
      <w:r>
        <w:rPr>
          <w:rFonts w:ascii="Times New Roman" w:eastAsia="Times New Roman" w:hAnsi="Times New Roman" w:cs="Times New Roman"/>
          <w:sz w:val="24"/>
          <w:szCs w:val="24"/>
        </w:rPr>
        <w:t>Azizifar</w:t>
      </w:r>
      <w:proofErr w:type="spellEnd"/>
      <w:r>
        <w:rPr>
          <w:rFonts w:ascii="Times New Roman" w:eastAsia="Times New Roman" w:hAnsi="Times New Roman" w:cs="Times New Roman"/>
          <w:sz w:val="24"/>
          <w:szCs w:val="24"/>
        </w:rPr>
        <w:t xml:space="preserve">, et al, 2010). Textbook review has become crucial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facilitate language learning, and textbook evaluation should involve the assessment of linguistic and cultural elements in textbooks (McGrath, 2002)</w:t>
      </w:r>
    </w:p>
    <w:p w14:paraId="0531C60A" w14:textId="77777777" w:rsidR="006F502E" w:rsidRDefault="006F502E">
      <w:pPr>
        <w:spacing w:after="0" w:line="240" w:lineRule="auto"/>
        <w:jc w:val="both"/>
        <w:rPr>
          <w:rFonts w:ascii="Times New Roman" w:eastAsia="Times New Roman" w:hAnsi="Times New Roman" w:cs="Times New Roman"/>
          <w:sz w:val="24"/>
          <w:szCs w:val="24"/>
        </w:rPr>
      </w:pPr>
    </w:p>
    <w:p w14:paraId="618733EA"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language teachers in an EFL context view teaching culture as a crucial issue (Chang, 2004; Damen, 1987; </w:t>
      </w:r>
      <w:proofErr w:type="spellStart"/>
      <w:r>
        <w:rPr>
          <w:rFonts w:ascii="Times New Roman" w:eastAsia="Times New Roman" w:hAnsi="Times New Roman" w:cs="Times New Roman"/>
          <w:sz w:val="24"/>
          <w:szCs w:val="24"/>
        </w:rPr>
        <w:t>Kramsch</w:t>
      </w:r>
      <w:proofErr w:type="spellEnd"/>
      <w:r>
        <w:rPr>
          <w:rFonts w:ascii="Times New Roman" w:eastAsia="Times New Roman" w:hAnsi="Times New Roman" w:cs="Times New Roman"/>
          <w:sz w:val="24"/>
          <w:szCs w:val="24"/>
        </w:rPr>
        <w:t xml:space="preserve">, 1995; 1998; Lange &amp; Paige, 2003). They also view it as the primary source of language education, with textbooks covering linguistic and cultural information related to the target language (Chen, 2000;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&amp; Jin, 1999; Huang, 2003). Many linguists believe that any language acquisition strategy that ignores the target culture would be inadequate when it comes to language teaching. Since language teachers are also considered culture teachers because learning a </w:t>
      </w:r>
      <w:proofErr w:type="gramStart"/>
      <w:r>
        <w:rPr>
          <w:rFonts w:ascii="Times New Roman" w:eastAsia="Times New Roman" w:hAnsi="Times New Roman" w:cs="Times New Roman"/>
          <w:sz w:val="24"/>
          <w:szCs w:val="24"/>
        </w:rPr>
        <w:t>new language entails</w:t>
      </w:r>
      <w:proofErr w:type="gramEnd"/>
      <w:r>
        <w:rPr>
          <w:rFonts w:ascii="Times New Roman" w:eastAsia="Times New Roman" w:hAnsi="Times New Roman" w:cs="Times New Roman"/>
          <w:sz w:val="24"/>
          <w:szCs w:val="24"/>
        </w:rPr>
        <w:t xml:space="preserve"> learning a new culture, the subject of cultural transmission through textbooks has gained significant attention among educators (Allwright and Bailey, 1991; Byram, 1989). Many academics and linguists fervently contend that culture ought to be regarded as a crucial ability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the other ones in language teaching, and it should be part of teaching materials (Alptekin, 1993, 2002; McKay, 2000; Hussein, 2022).</w:t>
      </w:r>
    </w:p>
    <w:p w14:paraId="1ADF8063" w14:textId="77777777" w:rsidR="006F502E" w:rsidRDefault="006F502E">
      <w:pPr>
        <w:spacing w:after="0" w:line="240" w:lineRule="auto"/>
        <w:jc w:val="both"/>
        <w:rPr>
          <w:rFonts w:ascii="Times New Roman" w:eastAsia="Times New Roman" w:hAnsi="Times New Roman" w:cs="Times New Roman"/>
          <w:sz w:val="24"/>
          <w:szCs w:val="24"/>
        </w:rPr>
      </w:pPr>
    </w:p>
    <w:p w14:paraId="0B4D0A6B"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it has been noted by Byram (2012, 2013) and </w:t>
      </w:r>
      <w:proofErr w:type="spellStart"/>
      <w:r>
        <w:rPr>
          <w:rFonts w:ascii="Times New Roman" w:eastAsia="Times New Roman" w:hAnsi="Times New Roman" w:cs="Times New Roman"/>
          <w:sz w:val="24"/>
          <w:szCs w:val="24"/>
        </w:rPr>
        <w:t>Kumaravadivelu</w:t>
      </w:r>
      <w:proofErr w:type="spellEnd"/>
      <w:r>
        <w:rPr>
          <w:rFonts w:ascii="Times New Roman" w:eastAsia="Times New Roman" w:hAnsi="Times New Roman" w:cs="Times New Roman"/>
          <w:sz w:val="24"/>
          <w:szCs w:val="24"/>
        </w:rPr>
        <w:t xml:space="preserve"> (2008) that intercultural citizenship and global cultural consciousness ought to be primary goals of language acquisition. Additionally, they emphasise the transformative nature of language instruction, which can only be achieved by critical thinking while reflecting on culture and understanding. Materials that support the growth of a reflective, receptive, and globally aware language learner may facilitate this skill.</w:t>
      </w:r>
    </w:p>
    <w:p w14:paraId="2595640B" w14:textId="77777777" w:rsidR="006F502E" w:rsidRDefault="006F502E">
      <w:pPr>
        <w:spacing w:after="0" w:line="240" w:lineRule="auto"/>
        <w:jc w:val="both"/>
        <w:rPr>
          <w:rFonts w:ascii="Times New Roman" w:eastAsia="Times New Roman" w:hAnsi="Times New Roman" w:cs="Times New Roman"/>
          <w:sz w:val="24"/>
          <w:szCs w:val="24"/>
        </w:rPr>
      </w:pPr>
    </w:p>
    <w:p w14:paraId="6F2BC42C"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this, textbooks play a significant part in education's ability to influence society. Whether they reflect the target language culture, the learners' home culture, or the global cultural diversity, obvious cultural references in the texts and visual elements have been the subject of several studies in textbooks with a critical perspective (McKay, 2000). Textbooks convey messages, either overt or covert, that help students establish perspectives on their own and other cultures, pass values down to future generations, and indirectly foster intercultural competency. </w:t>
      </w:r>
    </w:p>
    <w:p w14:paraId="7D11C571" w14:textId="77777777" w:rsidR="006F502E" w:rsidRDefault="006F502E">
      <w:pPr>
        <w:spacing w:after="0" w:line="240" w:lineRule="auto"/>
        <w:jc w:val="both"/>
        <w:rPr>
          <w:rFonts w:ascii="Times New Roman" w:eastAsia="Times New Roman" w:hAnsi="Times New Roman" w:cs="Times New Roman"/>
          <w:sz w:val="24"/>
          <w:szCs w:val="24"/>
        </w:rPr>
      </w:pPr>
    </w:p>
    <w:p w14:paraId="2DD06AD3"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studies on textbook culture that look at textbooks from a single nation, but few that compare the cultural references as source, target, and international culture between textbooks from two different countries. Based on this observation, the purpose of this study is to compare EFL textbooks for the sixth grade in secondary public schools in Türkiye and the State of North Rhine-Westphalia, Germany,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the cultural components they include. It aims to investigate the degree to which the relevant textbooks </w:t>
      </w:r>
      <w:proofErr w:type="gramStart"/>
      <w:r>
        <w:rPr>
          <w:rFonts w:ascii="Times New Roman" w:eastAsia="Times New Roman" w:hAnsi="Times New Roman" w:cs="Times New Roman"/>
          <w:sz w:val="24"/>
          <w:szCs w:val="24"/>
        </w:rPr>
        <w:t>make allusions</w:t>
      </w:r>
      <w:proofErr w:type="gramEnd"/>
      <w:r>
        <w:rPr>
          <w:rFonts w:ascii="Times New Roman" w:eastAsia="Times New Roman" w:hAnsi="Times New Roman" w:cs="Times New Roman"/>
          <w:sz w:val="24"/>
          <w:szCs w:val="24"/>
        </w:rPr>
        <w:t xml:space="preserve"> to the target (British/American), inter-national target, and source (Turkish/German) cultures, as well as whether there are any notable differences between the textbooks in this regard.</w:t>
      </w:r>
    </w:p>
    <w:p w14:paraId="2F9EF459" w14:textId="77777777" w:rsidR="006F502E" w:rsidRDefault="006F502E">
      <w:pPr>
        <w:spacing w:after="0" w:line="240" w:lineRule="auto"/>
        <w:ind w:firstLine="360"/>
        <w:jc w:val="both"/>
        <w:rPr>
          <w:rFonts w:ascii="Times New Roman" w:eastAsia="Times New Roman" w:hAnsi="Times New Roman" w:cs="Times New Roman"/>
          <w:sz w:val="24"/>
          <w:szCs w:val="24"/>
        </w:rPr>
      </w:pPr>
    </w:p>
    <w:p w14:paraId="0010D00E"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 xml:space="preserve">Culture in </w:t>
      </w:r>
      <w:r>
        <w:rPr>
          <w:rFonts w:ascii="Times New Roman" w:eastAsia="Times New Roman" w:hAnsi="Times New Roman" w:cs="Times New Roman"/>
          <w:b/>
          <w:sz w:val="24"/>
          <w:szCs w:val="24"/>
        </w:rPr>
        <w:t>teaching materials</w:t>
      </w:r>
    </w:p>
    <w:p w14:paraId="200A54C5"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4762DF6F"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and Jin (1999), culture is the framework of presumptions, ideas, and beliefs that are utilised to understand the words, deeds, and thought patterns of other people. Language experts have stressed learning English-speaking countries' cultures in addition to the </w:t>
      </w:r>
      <w:r>
        <w:rPr>
          <w:rFonts w:ascii="Times New Roman" w:eastAsia="Times New Roman" w:hAnsi="Times New Roman" w:cs="Times New Roman"/>
          <w:sz w:val="24"/>
          <w:szCs w:val="24"/>
        </w:rPr>
        <w:lastRenderedPageBreak/>
        <w:t xml:space="preserve">language over the past 40 years, and the subject of culture's role in language education has been examined from a variety of angles (Paige, Jorstad, Siaya, Klein, &amp; Colby, 2003). </w:t>
      </w:r>
    </w:p>
    <w:p w14:paraId="372292F2" w14:textId="77777777" w:rsidR="006F502E" w:rsidRDefault="006F502E">
      <w:pPr>
        <w:spacing w:after="0" w:line="240" w:lineRule="auto"/>
        <w:jc w:val="both"/>
        <w:rPr>
          <w:rFonts w:ascii="Times New Roman" w:eastAsia="Times New Roman" w:hAnsi="Times New Roman" w:cs="Times New Roman"/>
          <w:sz w:val="24"/>
          <w:szCs w:val="24"/>
        </w:rPr>
      </w:pPr>
    </w:p>
    <w:p w14:paraId="446C1DCA"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EFL textbooks have traditionally placed a strong emphasis on Western culture (Alptekin, 1993). Target culture predominates in textbooks for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reasons, including being cost-effective for publishers, being challenging for native speakers to write sections free from their own culture, and target culture's historical emphasis on its own culture (Alptekin, 1993).</w:t>
      </w:r>
    </w:p>
    <w:p w14:paraId="02BF99FD" w14:textId="77777777" w:rsidR="006F502E" w:rsidRDefault="006F502E">
      <w:pPr>
        <w:spacing w:after="0" w:line="240" w:lineRule="auto"/>
        <w:jc w:val="both"/>
        <w:rPr>
          <w:rFonts w:ascii="Times New Roman" w:eastAsia="Times New Roman" w:hAnsi="Times New Roman" w:cs="Times New Roman"/>
          <w:sz w:val="24"/>
          <w:szCs w:val="24"/>
        </w:rPr>
      </w:pPr>
    </w:p>
    <w:p w14:paraId="0B833CF4" w14:textId="77777777" w:rsidR="006F502E" w:rsidRDefault="00000000">
      <w:pPr>
        <w:spacing w:after="0" w:line="24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Prodromou</w:t>
      </w:r>
      <w:proofErr w:type="spellEnd"/>
      <w:r>
        <w:rPr>
          <w:rFonts w:ascii="Times New Roman" w:eastAsia="Times New Roman" w:hAnsi="Times New Roman" w:cs="Times New Roman"/>
          <w:sz w:val="24"/>
          <w:szCs w:val="24"/>
        </w:rPr>
        <w:t xml:space="preserve"> (1988) and Alptekin (1993) assert that teaching a language is impossible without incorporating it into its cultural basis and using the target culture as a teaching instrument. Additionally, learners may become alienated, stereotyped, or even reluctant or resistant to learning if they attempt to express themselves in a foreign culture. According to Phillipson (1992), the promotion of Western (British/American) global textbooks is a government-sponsored industry with both an ideological and an economic objective. </w:t>
      </w:r>
    </w:p>
    <w:p w14:paraId="44C61F67" w14:textId="77777777" w:rsidR="006F502E" w:rsidRDefault="006F502E">
      <w:pPr>
        <w:spacing w:after="0" w:line="240" w:lineRule="auto"/>
        <w:jc w:val="both"/>
        <w:rPr>
          <w:rFonts w:ascii="Times New Roman" w:eastAsia="Times New Roman" w:hAnsi="Times New Roman" w:cs="Times New Roman"/>
          <w:b/>
          <w:sz w:val="24"/>
          <w:szCs w:val="24"/>
        </w:rPr>
      </w:pPr>
    </w:p>
    <w:p w14:paraId="7FAF9D2E"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and Jin (1999) underlined the ideology conveyed to educators and students as well as the drawbacks of relying too heavily on textbooks as their primary source of instruction when assessing textbooks for cultural components. According to </w:t>
      </w:r>
      <w:proofErr w:type="spellStart"/>
      <w:r>
        <w:rPr>
          <w:rFonts w:ascii="Times New Roman" w:eastAsia="Times New Roman" w:hAnsi="Times New Roman" w:cs="Times New Roman"/>
          <w:sz w:val="24"/>
          <w:szCs w:val="24"/>
        </w:rPr>
        <w:t>Canagarajah</w:t>
      </w:r>
      <w:proofErr w:type="spellEnd"/>
      <w:r>
        <w:rPr>
          <w:rFonts w:ascii="Times New Roman" w:eastAsia="Times New Roman" w:hAnsi="Times New Roman" w:cs="Times New Roman"/>
          <w:sz w:val="24"/>
          <w:szCs w:val="24"/>
        </w:rPr>
        <w:t xml:space="preserve"> (2003), textbooks published abroad, the majority of which are created by Western commercial companies, have an influence on curricula in local schools. Moreover, he asserts that teachers in their immediate surroundings mostly rely on these prefabricated textbooks for pragmatic reasons like time and resources. But it is obvious that these textbooks have restricted the role that local educators can play (Tomlinson &amp; Masuhara, 2018). </w:t>
      </w:r>
    </w:p>
    <w:p w14:paraId="0F2DD86A" w14:textId="77777777" w:rsidR="006F502E" w:rsidRDefault="006F502E">
      <w:pPr>
        <w:spacing w:after="0" w:line="240" w:lineRule="auto"/>
        <w:jc w:val="both"/>
        <w:rPr>
          <w:rFonts w:ascii="Times New Roman" w:eastAsia="Times New Roman" w:hAnsi="Times New Roman" w:cs="Times New Roman"/>
          <w:sz w:val="24"/>
          <w:szCs w:val="24"/>
        </w:rPr>
      </w:pPr>
    </w:p>
    <w:p w14:paraId="6CD400CB"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emphasising the value of cultivating intercultural awareness throughout the English as an International Language learning process, McKay (2002) suggests that English textbooks should incorporate the source, target, and international cultures to better represent the needs of various English language learners in the interconnected world. </w:t>
      </w:r>
    </w:p>
    <w:p w14:paraId="1C2F64FC" w14:textId="77777777" w:rsidR="006F502E" w:rsidRDefault="006F502E">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rPr>
      </w:pPr>
    </w:p>
    <w:p w14:paraId="6141C720"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ELT in Germany and Türkiye</w:t>
      </w:r>
    </w:p>
    <w:p w14:paraId="3380FD94"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p>
    <w:p w14:paraId="768CE044"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scholars have investigated the significance of culture in the Turkish setting ( </w:t>
      </w:r>
      <w:proofErr w:type="spellStart"/>
      <w:r>
        <w:rPr>
          <w:rFonts w:ascii="Times New Roman" w:eastAsia="Times New Roman" w:hAnsi="Times New Roman" w:cs="Times New Roman"/>
          <w:sz w:val="24"/>
          <w:szCs w:val="24"/>
        </w:rPr>
        <w:t>Hamiloğlu</w:t>
      </w:r>
      <w:proofErr w:type="spellEnd"/>
      <w:r>
        <w:rPr>
          <w:rFonts w:ascii="Times New Roman" w:eastAsia="Times New Roman" w:hAnsi="Times New Roman" w:cs="Times New Roman"/>
          <w:sz w:val="24"/>
          <w:szCs w:val="24"/>
        </w:rPr>
        <w:t xml:space="preserve"> &amp; Mendi, 2010; Türkan &amp; Çelik, 2007). Though English is an international language, which has made it necessary to foster intercultural awareness and a worldwide perspective, there is still much to learn about the status of English-speaking cultures as they are depicted in EFL textbooks.</w:t>
      </w:r>
    </w:p>
    <w:p w14:paraId="1584982D" w14:textId="77777777" w:rsidR="006F502E" w:rsidRDefault="006F502E">
      <w:pPr>
        <w:spacing w:after="0" w:line="240" w:lineRule="auto"/>
        <w:jc w:val="both"/>
        <w:rPr>
          <w:rFonts w:ascii="Times New Roman" w:eastAsia="Times New Roman" w:hAnsi="Times New Roman" w:cs="Times New Roman"/>
          <w:sz w:val="24"/>
          <w:szCs w:val="24"/>
        </w:rPr>
      </w:pPr>
    </w:p>
    <w:p w14:paraId="1ACEB969"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Türkiye has not shown enough success in teaching English, despite tremendous attempts (Çolak, 2023). One of the theories for why language training in Türkiye is so ineffective is that EFL textbooks are developed locally under the direction of the Ministry of Education (</w:t>
      </w:r>
      <w:proofErr w:type="spellStart"/>
      <w:r>
        <w:rPr>
          <w:rFonts w:ascii="Times New Roman" w:eastAsia="Times New Roman" w:hAnsi="Times New Roman" w:cs="Times New Roman"/>
          <w:sz w:val="24"/>
          <w:szCs w:val="24"/>
        </w:rPr>
        <w:t>Büyükkantarcıoğlu</w:t>
      </w:r>
      <w:proofErr w:type="spellEnd"/>
      <w:r>
        <w:rPr>
          <w:rFonts w:ascii="Times New Roman" w:eastAsia="Times New Roman" w:hAnsi="Times New Roman" w:cs="Times New Roman"/>
          <w:sz w:val="24"/>
          <w:szCs w:val="24"/>
        </w:rPr>
        <w:t xml:space="preserve">, 2004; </w:t>
      </w:r>
      <w:proofErr w:type="spellStart"/>
      <w:r>
        <w:rPr>
          <w:rFonts w:ascii="Times New Roman" w:eastAsia="Times New Roman" w:hAnsi="Times New Roman" w:cs="Times New Roman"/>
          <w:sz w:val="24"/>
          <w:szCs w:val="24"/>
        </w:rPr>
        <w:t>Doğançay-Aktuna</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Kızıltepe</w:t>
      </w:r>
      <w:proofErr w:type="spellEnd"/>
      <w:r>
        <w:rPr>
          <w:rFonts w:ascii="Times New Roman" w:eastAsia="Times New Roman" w:hAnsi="Times New Roman" w:cs="Times New Roman"/>
          <w:sz w:val="24"/>
          <w:szCs w:val="24"/>
        </w:rPr>
        <w:t>, 2005).</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Since they must adhere to the approved foreign language instruction curriculum, language instructors are required to use them. According to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and Jin (1999), their cultural meaning is frequently "taken at face value and often unjustifiably considered as correct, or even as the only interpretation” (p. 200). The government's cultural strategy is mirrored in the locally issued educational resources, which subtly shape students' perceptions of culture (Rathert, 2023). The source culture, including Turkish cuisine, history, and weather, is covered in a study looking at Dede and Emre's Spotlight on English (1988)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and Jin, 1999).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and Jin (1999) draw attention to this problem by stating that “although students learn English so they may converse </w:t>
      </w:r>
      <w:r>
        <w:rPr>
          <w:rFonts w:ascii="Times New Roman" w:eastAsia="Times New Roman" w:hAnsi="Times New Roman" w:cs="Times New Roman"/>
          <w:sz w:val="24"/>
          <w:szCs w:val="24"/>
        </w:rPr>
        <w:lastRenderedPageBreak/>
        <w:t>with foreigners, they are not expected to travel to target countries or to learn about target cultures” (p. 205).</w:t>
      </w:r>
    </w:p>
    <w:p w14:paraId="07ABBA6E" w14:textId="77777777" w:rsidR="006F502E" w:rsidRDefault="006F502E">
      <w:pPr>
        <w:spacing w:after="0" w:line="240" w:lineRule="auto"/>
        <w:jc w:val="both"/>
        <w:rPr>
          <w:rFonts w:ascii="Times New Roman" w:eastAsia="Times New Roman" w:hAnsi="Times New Roman" w:cs="Times New Roman"/>
          <w:sz w:val="24"/>
          <w:szCs w:val="24"/>
        </w:rPr>
      </w:pPr>
    </w:p>
    <w:p w14:paraId="621BB3CC" w14:textId="77777777" w:rsidR="006F502E" w:rsidRDefault="00000000">
      <w:pPr>
        <w:spacing w:after="0"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Çakır</w:t>
      </w:r>
      <w:proofErr w:type="spellEnd"/>
      <w:r>
        <w:rPr>
          <w:rFonts w:ascii="Times New Roman" w:eastAsia="Times New Roman" w:hAnsi="Times New Roman" w:cs="Times New Roman"/>
          <w:color w:val="000000"/>
          <w:sz w:val="24"/>
          <w:szCs w:val="24"/>
        </w:rPr>
        <w:t xml:space="preserve"> (2010) looked at the cultural references of middle school </w:t>
      </w:r>
      <w:r>
        <w:rPr>
          <w:rFonts w:ascii="Times New Roman" w:eastAsia="Times New Roman" w:hAnsi="Times New Roman" w:cs="Times New Roman"/>
          <w:sz w:val="24"/>
          <w:szCs w:val="24"/>
        </w:rPr>
        <w:t xml:space="preserve">textbooks used at middle Turkish schools. He </w:t>
      </w:r>
      <w:r>
        <w:rPr>
          <w:rFonts w:ascii="Times New Roman" w:eastAsia="Times New Roman" w:hAnsi="Times New Roman" w:cs="Times New Roman"/>
          <w:color w:val="000000"/>
          <w:sz w:val="24"/>
          <w:szCs w:val="24"/>
        </w:rPr>
        <w:t xml:space="preserve">discovered that these textbooks lack cultural references, idioms, and superstitions in the target language. Çelik and Erbay (2013) examined four cultural dimensions—products, practices, perspectives, and people—in relation to a set of three coursebooks used in Turkish public elementary schools. Unlike the preceding studies, all three of the coursebooks </w:t>
      </w:r>
      <w:proofErr w:type="gramStart"/>
      <w:r>
        <w:rPr>
          <w:rFonts w:ascii="Times New Roman" w:eastAsia="Times New Roman" w:hAnsi="Times New Roman" w:cs="Times New Roman"/>
          <w:color w:val="000000"/>
          <w:sz w:val="24"/>
          <w:szCs w:val="24"/>
        </w:rPr>
        <w:t>take into account</w:t>
      </w:r>
      <w:proofErr w:type="gramEnd"/>
      <w:r>
        <w:rPr>
          <w:rFonts w:ascii="Times New Roman" w:eastAsia="Times New Roman" w:hAnsi="Times New Roman" w:cs="Times New Roman"/>
          <w:color w:val="000000"/>
          <w:sz w:val="24"/>
          <w:szCs w:val="24"/>
        </w:rPr>
        <w:t xml:space="preserve"> other cultures despite a distinct emphasis on Europe. </w:t>
      </w:r>
      <w:proofErr w:type="spellStart"/>
      <w:r>
        <w:rPr>
          <w:rFonts w:ascii="Times New Roman" w:eastAsia="Times New Roman" w:hAnsi="Times New Roman" w:cs="Times New Roman"/>
          <w:color w:val="000000"/>
          <w:sz w:val="24"/>
          <w:szCs w:val="24"/>
        </w:rPr>
        <w:t>Kırkgöz</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Ağçam</w:t>
      </w:r>
      <w:proofErr w:type="spellEnd"/>
      <w:r>
        <w:rPr>
          <w:rFonts w:ascii="Times New Roman" w:eastAsia="Times New Roman" w:hAnsi="Times New Roman" w:cs="Times New Roman"/>
          <w:color w:val="000000"/>
          <w:sz w:val="24"/>
          <w:szCs w:val="24"/>
        </w:rPr>
        <w:t xml:space="preserve"> (2011) examined the cultural components in 18 different textbooks to determine the degree to which these texts make references to the Turkish source culture, the British/American target culture, and the international culture. </w:t>
      </w:r>
      <w:r>
        <w:rPr>
          <w:rFonts w:ascii="Times New Roman" w:eastAsia="Times New Roman" w:hAnsi="Times New Roman" w:cs="Times New Roman"/>
          <w:sz w:val="24"/>
          <w:szCs w:val="24"/>
        </w:rPr>
        <w:t>The authors found out</w:t>
      </w:r>
      <w:r>
        <w:rPr>
          <w:rFonts w:ascii="Times New Roman" w:eastAsia="Times New Roman" w:hAnsi="Times New Roman" w:cs="Times New Roman"/>
          <w:color w:val="000000"/>
          <w:sz w:val="24"/>
          <w:szCs w:val="24"/>
        </w:rPr>
        <w:t xml:space="preserve"> that locally published ELT textbooks fairly balance the representation of the source culture, the target culture, and the worldwide target culture. </w:t>
      </w:r>
    </w:p>
    <w:p w14:paraId="5BCD8EE5" w14:textId="77777777" w:rsidR="006F502E" w:rsidRDefault="006F502E">
      <w:pPr>
        <w:spacing w:after="0" w:line="240" w:lineRule="auto"/>
        <w:jc w:val="both"/>
        <w:rPr>
          <w:rFonts w:ascii="Times New Roman" w:eastAsia="Times New Roman" w:hAnsi="Times New Roman" w:cs="Times New Roman"/>
          <w:sz w:val="24"/>
          <w:szCs w:val="24"/>
        </w:rPr>
      </w:pPr>
    </w:p>
    <w:p w14:paraId="77EFD5B5" w14:textId="77777777" w:rsidR="006F502E" w:rsidRDefault="00000000">
      <w:pPr>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Germany was also selected for this comparative analysis due to the dearth of cultural studies seen in textbooks. Due to the sixteen curricula offered by the sixteen German states (</w:t>
      </w:r>
      <w:proofErr w:type="spellStart"/>
      <w:r>
        <w:rPr>
          <w:rFonts w:ascii="Times New Roman" w:eastAsia="Times New Roman" w:hAnsi="Times New Roman" w:cs="Times New Roman"/>
          <w:color w:val="000000"/>
          <w:sz w:val="24"/>
          <w:szCs w:val="24"/>
        </w:rPr>
        <w:t>Bundesländer</w:t>
      </w:r>
      <w:proofErr w:type="spellEnd"/>
      <w:r>
        <w:rPr>
          <w:rFonts w:ascii="Times New Roman" w:eastAsia="Times New Roman" w:hAnsi="Times New Roman" w:cs="Times New Roman"/>
          <w:color w:val="000000"/>
          <w:sz w:val="24"/>
          <w:szCs w:val="24"/>
        </w:rPr>
        <w:t>), conducting such a study is challenging in the German</w:t>
      </w:r>
      <w:r>
        <w:rPr>
          <w:rFonts w:ascii="Times New Roman" w:eastAsia="Times New Roman" w:hAnsi="Times New Roman" w:cs="Times New Roman"/>
          <w:sz w:val="24"/>
          <w:szCs w:val="24"/>
        </w:rPr>
        <w:t xml:space="preserve"> context</w:t>
      </w:r>
      <w:r>
        <w:rPr>
          <w:rFonts w:ascii="Times New Roman" w:eastAsia="Times New Roman" w:hAnsi="Times New Roman" w:cs="Times New Roman"/>
          <w:color w:val="000000"/>
          <w:sz w:val="24"/>
          <w:szCs w:val="24"/>
        </w:rPr>
        <w:t xml:space="preserve">. While the general objectives </w:t>
      </w:r>
      <w:r>
        <w:rPr>
          <w:rFonts w:ascii="Times New Roman" w:eastAsia="Times New Roman" w:hAnsi="Times New Roman" w:cs="Times New Roman"/>
          <w:sz w:val="24"/>
          <w:szCs w:val="24"/>
        </w:rPr>
        <w:t>are the same in textbooks used</w:t>
      </w:r>
      <w:r>
        <w:rPr>
          <w:rFonts w:ascii="Times New Roman" w:eastAsia="Times New Roman" w:hAnsi="Times New Roman" w:cs="Times New Roman"/>
          <w:color w:val="000000"/>
          <w:sz w:val="24"/>
          <w:szCs w:val="24"/>
        </w:rPr>
        <w:t xml:space="preserve">, the instructional resources differ. German textbook publishers offer various versions of their textbooks separately for each state, contingent on the </w:t>
      </w:r>
      <w:r>
        <w:rPr>
          <w:rFonts w:ascii="Times New Roman" w:eastAsia="Times New Roman" w:hAnsi="Times New Roman" w:cs="Times New Roman"/>
          <w:sz w:val="24"/>
          <w:szCs w:val="24"/>
        </w:rPr>
        <w:t xml:space="preserve">curricular specifications </w:t>
      </w:r>
      <w:r>
        <w:rPr>
          <w:rFonts w:ascii="Times New Roman" w:eastAsia="Times New Roman" w:hAnsi="Times New Roman" w:cs="Times New Roman"/>
          <w:color w:val="000000"/>
          <w:sz w:val="24"/>
          <w:szCs w:val="24"/>
        </w:rPr>
        <w:t xml:space="preserve">of each state. While some states have created shared curricula, the majority have not. Studies pertaining to the cultural components of German literature are quite rare. In a </w:t>
      </w:r>
      <w:r>
        <w:rPr>
          <w:rFonts w:ascii="Times New Roman" w:eastAsia="Times New Roman" w:hAnsi="Times New Roman" w:cs="Times New Roman"/>
          <w:sz w:val="24"/>
          <w:szCs w:val="24"/>
        </w:rPr>
        <w:t>study</w:t>
      </w:r>
      <w:r>
        <w:rPr>
          <w:rFonts w:ascii="Times New Roman" w:eastAsia="Times New Roman" w:hAnsi="Times New Roman" w:cs="Times New Roman"/>
          <w:color w:val="000000"/>
          <w:sz w:val="24"/>
          <w:szCs w:val="24"/>
        </w:rPr>
        <w:t>, Kohl (2016) looks at Abraham Lincoln as a theme in English and history textbooks and summarises the ways and reasons that Lincoln can be taught in political science, history, or EFL classes. He concludes that EFL classrooms mostly cover American history. The cognitive, affective, and procedural components of EFL elementary textbooks from Germany and Syria were compared by Hasan and Raddatz (2009). The German textbooks introduce British culture right away, but the Syrian textbooks only cover the original culture up to the third volume of the textbook series, which also covers British culture.</w:t>
      </w:r>
    </w:p>
    <w:p w14:paraId="46E67DE2" w14:textId="77777777" w:rsidR="006F502E" w:rsidRDefault="006F502E">
      <w:pPr>
        <w:spacing w:after="0" w:line="240" w:lineRule="auto"/>
        <w:jc w:val="both"/>
        <w:rPr>
          <w:rFonts w:ascii="Times New Roman" w:eastAsia="Times New Roman" w:hAnsi="Times New Roman" w:cs="Times New Roman"/>
          <w:sz w:val="24"/>
          <w:szCs w:val="24"/>
        </w:rPr>
      </w:pPr>
    </w:p>
    <w:p w14:paraId="13782E22"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Methodology</w:t>
      </w:r>
    </w:p>
    <w:p w14:paraId="048E7877"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68B023DA"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study employed Content Analysis (CA) as a technique to determine the cultural content of the primary texts. The texts may take the shape of written, visual, or spoken forms, and the content may consist of words, images, or themes (Cohen, Manion &amp; Morrison, 2000; Neuman, 1997). Content analysis is regarded as a dependable method in educational research since it follows a clear strategy to systematically categorise the data (Cohen, Manion &amp; Morrison, 2000; </w:t>
      </w:r>
      <w:proofErr w:type="spellStart"/>
      <w:r>
        <w:rPr>
          <w:rFonts w:ascii="Times New Roman" w:eastAsia="Times New Roman" w:hAnsi="Times New Roman" w:cs="Times New Roman"/>
          <w:sz w:val="24"/>
          <w:szCs w:val="24"/>
        </w:rPr>
        <w:t>Holsti</w:t>
      </w:r>
      <w:proofErr w:type="spellEnd"/>
      <w:r>
        <w:rPr>
          <w:rFonts w:ascii="Times New Roman" w:eastAsia="Times New Roman" w:hAnsi="Times New Roman" w:cs="Times New Roman"/>
          <w:sz w:val="24"/>
          <w:szCs w:val="24"/>
        </w:rPr>
        <w:t>, 1969; Neuman, 1997).</w:t>
      </w:r>
    </w:p>
    <w:p w14:paraId="485C4BFE" w14:textId="77777777" w:rsidR="006F502E" w:rsidRDefault="006F502E">
      <w:pPr>
        <w:spacing w:after="0" w:line="240" w:lineRule="auto"/>
        <w:jc w:val="both"/>
        <w:rPr>
          <w:rFonts w:ascii="Times New Roman" w:eastAsia="Times New Roman" w:hAnsi="Times New Roman" w:cs="Times New Roman"/>
          <w:sz w:val="24"/>
          <w:szCs w:val="24"/>
        </w:rPr>
      </w:pPr>
    </w:p>
    <w:p w14:paraId="17DC3B66"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list of cultural references was developed based on an analysis of the textbooks' written (names of persons and locations, themes in the written texts, etc.) and visual (images, maps, photographs, drawings, etc.) contents. Then, using the paradigm put forward by </w:t>
      </w: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and Jin (1999) and McKay (2000), those cultural allusions were divided into three categories: the source (Turkish and German, respectively), the target (British/American), and the international target culture (French, Russian, Spanish, etc.). The written words and images that made no explicit reference to any </w:t>
      </w:r>
      <w:proofErr w:type="gramStart"/>
      <w:r>
        <w:rPr>
          <w:rFonts w:ascii="Times New Roman" w:eastAsia="Times New Roman" w:hAnsi="Times New Roman" w:cs="Times New Roman"/>
          <w:sz w:val="24"/>
          <w:szCs w:val="24"/>
        </w:rPr>
        <w:t>particular culture</w:t>
      </w:r>
      <w:proofErr w:type="gramEnd"/>
      <w:r>
        <w:rPr>
          <w:rFonts w:ascii="Times New Roman" w:eastAsia="Times New Roman" w:hAnsi="Times New Roman" w:cs="Times New Roman"/>
          <w:sz w:val="24"/>
          <w:szCs w:val="24"/>
        </w:rPr>
        <w:t xml:space="preserve"> were deemed to be assertions devoid of cultural content and were, thus, excluded. The analysis findings are given in separate sections for each book's source, target, and worldwide cultures.</w:t>
      </w:r>
    </w:p>
    <w:p w14:paraId="76DF6FA6" w14:textId="77777777" w:rsidR="006F502E" w:rsidRDefault="006F502E">
      <w:pPr>
        <w:spacing w:after="0" w:line="240" w:lineRule="auto"/>
        <w:jc w:val="both"/>
        <w:rPr>
          <w:rFonts w:ascii="Times New Roman" w:eastAsia="Times New Roman" w:hAnsi="Times New Roman" w:cs="Times New Roman"/>
          <w:sz w:val="24"/>
          <w:szCs w:val="24"/>
        </w:rPr>
      </w:pPr>
    </w:p>
    <w:p w14:paraId="74CB2AF6"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study involved an analysis of two books: English Net (</w:t>
      </w:r>
      <w:proofErr w:type="spellStart"/>
      <w:r>
        <w:rPr>
          <w:rFonts w:ascii="Times New Roman" w:eastAsia="Times New Roman" w:hAnsi="Times New Roman" w:cs="Times New Roman"/>
          <w:sz w:val="24"/>
          <w:szCs w:val="24"/>
        </w:rPr>
        <w:t>Şilit</w:t>
      </w:r>
      <w:proofErr w:type="spellEnd"/>
      <w:r>
        <w:rPr>
          <w:rFonts w:ascii="Times New Roman" w:eastAsia="Times New Roman" w:hAnsi="Times New Roman" w:cs="Times New Roman"/>
          <w:sz w:val="24"/>
          <w:szCs w:val="24"/>
        </w:rPr>
        <w:t xml:space="preserve">, 2016; henceforth English Net) (152 pages) from Türkiye and Lighthouse 2 (Abbey et al., 2016; henceforth Lighthouse) (254 pages) from Germany. By removing terminology and references, 140 pages of English Net and 179 pages of Lighthouse were examined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compare the two books' cultural allusions.</w:t>
      </w:r>
    </w:p>
    <w:p w14:paraId="313C22B8" w14:textId="77777777" w:rsidR="006F502E" w:rsidRDefault="006F502E">
      <w:pPr>
        <w:spacing w:after="0" w:line="240" w:lineRule="auto"/>
        <w:jc w:val="both"/>
        <w:rPr>
          <w:rFonts w:ascii="Times New Roman" w:eastAsia="Times New Roman" w:hAnsi="Times New Roman" w:cs="Times New Roman"/>
          <w:sz w:val="24"/>
          <w:szCs w:val="24"/>
        </w:rPr>
      </w:pPr>
    </w:p>
    <w:p w14:paraId="6B0CB05A"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w:t>
      </w:r>
    </w:p>
    <w:p w14:paraId="60D65FC9"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p>
    <w:p w14:paraId="1B257BDC"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sz w:val="24"/>
          <w:szCs w:val="24"/>
        </w:rPr>
        <w:t>Statistical f</w:t>
      </w:r>
      <w:r>
        <w:rPr>
          <w:rFonts w:ascii="Times New Roman" w:eastAsia="Times New Roman" w:hAnsi="Times New Roman" w:cs="Times New Roman"/>
          <w:b/>
          <w:i/>
          <w:color w:val="000000"/>
          <w:sz w:val="24"/>
          <w:szCs w:val="24"/>
        </w:rPr>
        <w:t>indings</w:t>
      </w:r>
    </w:p>
    <w:p w14:paraId="080D7899"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4"/>
          <w:szCs w:val="24"/>
        </w:rPr>
      </w:pPr>
    </w:p>
    <w:p w14:paraId="07D8389D"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a total of 205 references to culture from the Turkish local textbook English Net and 219 from the German local textbook Lighthouse. Figure 1 shows the results of the quantitative data of cultural references in two </w:t>
      </w:r>
      <w:proofErr w:type="gramStart"/>
      <w:r>
        <w:rPr>
          <w:rFonts w:ascii="Times New Roman" w:eastAsia="Times New Roman" w:hAnsi="Times New Roman" w:cs="Times New Roman"/>
          <w:sz w:val="24"/>
          <w:szCs w:val="24"/>
        </w:rPr>
        <w:t>books as a whole</w:t>
      </w:r>
      <w:proofErr w:type="gramEnd"/>
      <w:r>
        <w:rPr>
          <w:rFonts w:ascii="Times New Roman" w:eastAsia="Times New Roman" w:hAnsi="Times New Roman" w:cs="Times New Roman"/>
          <w:sz w:val="24"/>
          <w:szCs w:val="24"/>
        </w:rPr>
        <w:t xml:space="preserve">. </w:t>
      </w:r>
    </w:p>
    <w:p w14:paraId="0D0086E7" w14:textId="77777777" w:rsidR="006F502E" w:rsidRDefault="006F502E">
      <w:pPr>
        <w:spacing w:after="0" w:line="240" w:lineRule="auto"/>
        <w:jc w:val="both"/>
        <w:rPr>
          <w:rFonts w:ascii="Times New Roman" w:eastAsia="Times New Roman" w:hAnsi="Times New Roman" w:cs="Times New Roman"/>
          <w:sz w:val="24"/>
          <w:szCs w:val="24"/>
        </w:rPr>
      </w:pPr>
    </w:p>
    <w:p w14:paraId="6843F14E" w14:textId="77777777" w:rsidR="006F502E" w:rsidRDefault="00000000">
      <w:pPr>
        <w:spacing w:after="0" w:line="240" w:lineRule="auto"/>
        <w:ind w:firstLine="708"/>
        <w:jc w:val="both"/>
        <w:rPr>
          <w:rFonts w:ascii="Times New Roman" w:eastAsia="Times New Roman" w:hAnsi="Times New Roman" w:cs="Times New Roman"/>
          <w:sz w:val="24"/>
          <w:szCs w:val="24"/>
        </w:rPr>
      </w:pPr>
      <w:r>
        <w:rPr>
          <w:noProof/>
        </w:rPr>
        <w:drawing>
          <wp:inline distT="0" distB="0" distL="0" distR="0" wp14:anchorId="694F5D44" wp14:editId="24B9ED2B">
            <wp:extent cx="4808220" cy="2545080"/>
            <wp:effectExtent l="0" t="0" r="0" b="0"/>
            <wp:docPr id="2118212882" name="Chart 21182128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18D2FAE"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Figure 1. Distribution of cultural allusions in English Net and Lighthouse</w:t>
      </w:r>
    </w:p>
    <w:p w14:paraId="706AE0BA" w14:textId="77777777" w:rsidR="006F502E" w:rsidRDefault="006F502E">
      <w:pPr>
        <w:spacing w:after="0" w:line="240" w:lineRule="auto"/>
        <w:jc w:val="both"/>
        <w:rPr>
          <w:rFonts w:ascii="Times New Roman" w:eastAsia="Times New Roman" w:hAnsi="Times New Roman" w:cs="Times New Roman"/>
          <w:sz w:val="24"/>
          <w:szCs w:val="24"/>
        </w:rPr>
      </w:pPr>
    </w:p>
    <w:p w14:paraId="4F3C3A74"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English Net, the target culture has the highest percentage (40.48%), followed by the international culture (30.24%) and the source culture references (29.26%). Target culture has the largest share in Lighthouse 2, at 77.62%, followed by source culture at 13.24% and worldwide cultural allusions at 9.13%.</w:t>
      </w:r>
    </w:p>
    <w:p w14:paraId="549B49C8" w14:textId="77777777" w:rsidR="006F502E" w:rsidRDefault="006F502E">
      <w:pPr>
        <w:spacing w:after="0" w:line="240" w:lineRule="auto"/>
        <w:jc w:val="both"/>
        <w:rPr>
          <w:rFonts w:ascii="Times New Roman" w:eastAsia="Times New Roman" w:hAnsi="Times New Roman" w:cs="Times New Roman"/>
          <w:sz w:val="24"/>
          <w:szCs w:val="24"/>
        </w:rPr>
      </w:pPr>
    </w:p>
    <w:p w14:paraId="646A6F19" w14:textId="77777777" w:rsidR="006F502E" w:rsidRDefault="00000000">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Findings from English Net</w:t>
      </w:r>
    </w:p>
    <w:p w14:paraId="6234EC12" w14:textId="77777777" w:rsidR="006F502E" w:rsidRDefault="006F502E">
      <w:pPr>
        <w:spacing w:after="0" w:line="240" w:lineRule="auto"/>
        <w:jc w:val="both"/>
        <w:rPr>
          <w:rFonts w:ascii="Times New Roman" w:eastAsia="Times New Roman" w:hAnsi="Times New Roman" w:cs="Times New Roman"/>
          <w:b/>
          <w:sz w:val="24"/>
          <w:szCs w:val="24"/>
        </w:rPr>
      </w:pPr>
    </w:p>
    <w:p w14:paraId="23514E26"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allusions in English Net were mostly absent from a variety of media, including books, stories, images, activities, and so on. They only included names of individuals and places, though, and traditional foods. </w:t>
      </w:r>
      <w:proofErr w:type="gramStart"/>
      <w:r>
        <w:rPr>
          <w:rFonts w:ascii="Times New Roman" w:eastAsia="Times New Roman" w:hAnsi="Times New Roman" w:cs="Times New Roman"/>
          <w:sz w:val="24"/>
          <w:szCs w:val="24"/>
        </w:rPr>
        <w:t>First of all</w:t>
      </w:r>
      <w:proofErr w:type="gramEnd"/>
      <w:r>
        <w:rPr>
          <w:rFonts w:ascii="Times New Roman" w:eastAsia="Times New Roman" w:hAnsi="Times New Roman" w:cs="Times New Roman"/>
          <w:sz w:val="24"/>
          <w:szCs w:val="24"/>
        </w:rPr>
        <w:t>, in the book there was just one Turkish name, Sezen. The names of the other characters were all from either the target culture or the global culture. The only examples of source culture references were images of several Turkish cities, such as Ankara, the country's capital, and various tourism cities, e.g., Antalya, Istanbul and Izmir and the map of Türkiye.</w:t>
      </w:r>
    </w:p>
    <w:p w14:paraId="012FD8F5" w14:textId="77777777" w:rsidR="006F502E" w:rsidRDefault="006F502E">
      <w:pPr>
        <w:spacing w:after="0" w:line="240" w:lineRule="auto"/>
        <w:jc w:val="both"/>
        <w:rPr>
          <w:rFonts w:ascii="Times New Roman" w:eastAsia="Times New Roman" w:hAnsi="Times New Roman" w:cs="Times New Roman"/>
          <w:sz w:val="24"/>
          <w:szCs w:val="24"/>
        </w:rPr>
      </w:pPr>
    </w:p>
    <w:p w14:paraId="23A2D79E"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Character names were frequently included in the speech as a nod to the target culture. Images of popular tourist destinations like Hyde Park, Buckingham Palace, and the London Eye were used to introduce British culture. Nevertheless, the book did not give any information on the cities or festivities. One other allusion to the target culture was the concept of food as a single unit. International culture was also represented by characters from Egypt, France, Germany, Spain, Japan, and Russia, as well as by allusions to regional specialties. At higher levels, </w:t>
      </w:r>
      <w:r>
        <w:rPr>
          <w:rFonts w:ascii="Times New Roman" w:eastAsia="Times New Roman" w:hAnsi="Times New Roman" w:cs="Times New Roman"/>
          <w:sz w:val="24"/>
          <w:szCs w:val="24"/>
        </w:rPr>
        <w:lastRenderedPageBreak/>
        <w:t xml:space="preserve">learning about culture requires more than just incorporating the </w:t>
      </w:r>
      <w:proofErr w:type="gramStart"/>
      <w:r>
        <w:rPr>
          <w:rFonts w:ascii="Times New Roman" w:eastAsia="Times New Roman" w:hAnsi="Times New Roman" w:cs="Times New Roman"/>
          <w:sz w:val="24"/>
          <w:szCs w:val="24"/>
        </w:rPr>
        <w:t>aforementioned cultural</w:t>
      </w:r>
      <w:proofErr w:type="gramEnd"/>
      <w:r>
        <w:rPr>
          <w:rFonts w:ascii="Times New Roman" w:eastAsia="Times New Roman" w:hAnsi="Times New Roman" w:cs="Times New Roman"/>
          <w:sz w:val="24"/>
          <w:szCs w:val="24"/>
        </w:rPr>
        <w:t xml:space="preserve"> components into textbooks. </w:t>
      </w:r>
    </w:p>
    <w:p w14:paraId="39368D1C" w14:textId="77777777" w:rsidR="006F502E" w:rsidRDefault="006F502E">
      <w:pPr>
        <w:spacing w:after="0" w:line="240" w:lineRule="auto"/>
        <w:jc w:val="both"/>
        <w:rPr>
          <w:rFonts w:ascii="Times New Roman" w:eastAsia="Times New Roman" w:hAnsi="Times New Roman" w:cs="Times New Roman"/>
          <w:b/>
          <w:sz w:val="24"/>
          <w:szCs w:val="24"/>
        </w:rPr>
      </w:pPr>
    </w:p>
    <w:p w14:paraId="7CD03FCD" w14:textId="77777777" w:rsidR="006F502E" w:rsidRDefault="00000000">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Findings from Lighthouse</w:t>
      </w:r>
    </w:p>
    <w:p w14:paraId="5C2C8EB6" w14:textId="77777777" w:rsidR="006F502E" w:rsidRDefault="006F502E">
      <w:pPr>
        <w:spacing w:after="0" w:line="240" w:lineRule="auto"/>
        <w:jc w:val="both"/>
        <w:rPr>
          <w:rFonts w:ascii="Times New Roman" w:eastAsia="Times New Roman" w:hAnsi="Times New Roman" w:cs="Times New Roman"/>
          <w:b/>
          <w:sz w:val="24"/>
          <w:szCs w:val="24"/>
        </w:rPr>
      </w:pPr>
    </w:p>
    <w:p w14:paraId="346BC40B"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Lighthouse, cultural allusions were displayed in a variety of ways including conversations, images, graphics, games, tales, and brief writings. Lighthouse also provided details on various celebrations, occasions, and myths, which help to provide a richer understanding of the target, source and international cultures. First, allusions to the original culture were found in German cities, such as Köln, the country's capital, and Berlin, as well as in the map of Germany that shows the locations of all the cities. </w:t>
      </w:r>
    </w:p>
    <w:p w14:paraId="254CB15D" w14:textId="77777777" w:rsidR="006F502E" w:rsidRDefault="006F502E">
      <w:pPr>
        <w:spacing w:after="0" w:line="240" w:lineRule="auto"/>
        <w:jc w:val="both"/>
        <w:rPr>
          <w:rFonts w:ascii="Times New Roman" w:eastAsia="Times New Roman" w:hAnsi="Times New Roman" w:cs="Times New Roman"/>
          <w:sz w:val="24"/>
          <w:szCs w:val="24"/>
        </w:rPr>
      </w:pPr>
    </w:p>
    <w:p w14:paraId="0A3D0EAF"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culture was mentioned </w:t>
      </w:r>
      <w:proofErr w:type="gramStart"/>
      <w:r>
        <w:rPr>
          <w:rFonts w:ascii="Times New Roman" w:eastAsia="Times New Roman" w:hAnsi="Times New Roman" w:cs="Times New Roman"/>
          <w:sz w:val="24"/>
          <w:szCs w:val="24"/>
        </w:rPr>
        <w:t>frequently</w:t>
      </w:r>
      <w:proofErr w:type="gramEnd"/>
      <w:r>
        <w:rPr>
          <w:rFonts w:ascii="Times New Roman" w:eastAsia="Times New Roman" w:hAnsi="Times New Roman" w:cs="Times New Roman"/>
          <w:sz w:val="24"/>
          <w:szCs w:val="24"/>
        </w:rPr>
        <w:t xml:space="preserve"> and additional information was provided through rich content. Character and city names were included, but there was also a wealth of knowledge on historical sites and occasions, celebrations, folklore, and tales from the target culture, such as King Arthur and The Tale of Guy Fawkes. A conversation that portrayed the St. Martin's Day light celebration was also included. Lighthouse also contained details about day-to-day living in countries where the target language is spoken as the first language.</w:t>
      </w:r>
    </w:p>
    <w:p w14:paraId="63691781" w14:textId="77777777" w:rsidR="006F502E" w:rsidRDefault="006F502E">
      <w:pPr>
        <w:spacing w:after="0" w:line="240" w:lineRule="auto"/>
        <w:jc w:val="both"/>
        <w:rPr>
          <w:rFonts w:ascii="Times New Roman" w:eastAsia="Times New Roman" w:hAnsi="Times New Roman" w:cs="Times New Roman"/>
          <w:sz w:val="24"/>
          <w:szCs w:val="24"/>
        </w:rPr>
      </w:pPr>
    </w:p>
    <w:p w14:paraId="51B79816"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international cultures were included by mentioning the names of actors and the countries like Ghana, Türkiye, Spain, and Sweden. Lighthouse, however, fell short of providing a solid basis for cultural acquisition. The textbook did not emphasise international culture, but references to source and target cultures were sufficient for acquiring new cultural knowledge.</w:t>
      </w:r>
    </w:p>
    <w:p w14:paraId="0B52773C" w14:textId="77777777" w:rsidR="006F502E" w:rsidRDefault="006F502E">
      <w:pPr>
        <w:spacing w:after="0" w:line="240" w:lineRule="auto"/>
        <w:ind w:firstLine="708"/>
        <w:jc w:val="both"/>
        <w:rPr>
          <w:rFonts w:ascii="Times New Roman" w:eastAsia="Times New Roman" w:hAnsi="Times New Roman" w:cs="Times New Roman"/>
          <w:sz w:val="24"/>
          <w:szCs w:val="24"/>
        </w:rPr>
      </w:pPr>
    </w:p>
    <w:p w14:paraId="75B4FA35"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Discussion and c</w:t>
      </w:r>
      <w:r>
        <w:rPr>
          <w:rFonts w:ascii="Times New Roman" w:eastAsia="Times New Roman" w:hAnsi="Times New Roman" w:cs="Times New Roman"/>
          <w:b/>
          <w:color w:val="000000"/>
          <w:sz w:val="24"/>
          <w:szCs w:val="24"/>
        </w:rPr>
        <w:t>onclusion</w:t>
      </w:r>
    </w:p>
    <w:p w14:paraId="3AEFB30C"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18B4AD80"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aimed to compare two ELT textbooks for 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used in Germany (Lighthouse) and Türkiye (English Net) in terms of cultural references (target, source and international). The references to the target culture in Lighthouse were rich both in quantity and quality. It included everyday life in target countries as well as information about historical places and events. It also displayed enough information about festivals, stories and legends of the target culture. However, it did not have sufficient references to source and international </w:t>
      </w:r>
      <w:proofErr w:type="gramStart"/>
      <w:r>
        <w:rPr>
          <w:rFonts w:ascii="Times New Roman" w:eastAsia="Times New Roman" w:hAnsi="Times New Roman" w:cs="Times New Roman"/>
          <w:sz w:val="24"/>
          <w:szCs w:val="24"/>
        </w:rPr>
        <w:t>cultures</w:t>
      </w:r>
      <w:proofErr w:type="gramEnd"/>
      <w:r>
        <w:rPr>
          <w:rFonts w:ascii="Times New Roman" w:eastAsia="Times New Roman" w:hAnsi="Times New Roman" w:cs="Times New Roman"/>
          <w:sz w:val="24"/>
          <w:szCs w:val="24"/>
        </w:rPr>
        <w:t xml:space="preserve"> and it could have benefitted from including more references to source and international cultures to further enhance students' intercultural competence (</w:t>
      </w:r>
      <w:proofErr w:type="spellStart"/>
      <w:r>
        <w:rPr>
          <w:rFonts w:ascii="Times New Roman" w:eastAsia="Times New Roman" w:hAnsi="Times New Roman" w:cs="Times New Roman"/>
          <w:sz w:val="24"/>
          <w:szCs w:val="24"/>
        </w:rPr>
        <w:t>Tüm</w:t>
      </w:r>
      <w:proofErr w:type="spellEnd"/>
      <w:r>
        <w:rPr>
          <w:rFonts w:ascii="Times New Roman" w:eastAsia="Times New Roman" w:hAnsi="Times New Roman" w:cs="Times New Roman"/>
          <w:sz w:val="24"/>
          <w:szCs w:val="24"/>
        </w:rPr>
        <w:t xml:space="preserve"> &amp; Uğuz, 2014).</w:t>
      </w:r>
      <w:r>
        <w:t xml:space="preserve"> </w:t>
      </w:r>
      <w:r>
        <w:rPr>
          <w:rFonts w:ascii="Times New Roman" w:eastAsia="Times New Roman" w:hAnsi="Times New Roman" w:cs="Times New Roman"/>
          <w:sz w:val="24"/>
          <w:szCs w:val="24"/>
        </w:rPr>
        <w:t xml:space="preserve">English Net, on the other hand, appeared to have a greater number of cultural allusions both from the source and international cultures, but the allusions lacked depth to engage learners in intercultural competence building. English Net seemed to achieve a more successful balance between the three cultural components (international, source, and target), which is in line with previous studies (Çelik &amp; Erbay, 2013; </w:t>
      </w:r>
      <w:proofErr w:type="spellStart"/>
      <w:r>
        <w:rPr>
          <w:rFonts w:ascii="Times New Roman" w:eastAsia="Times New Roman" w:hAnsi="Times New Roman" w:cs="Times New Roman"/>
          <w:sz w:val="24"/>
          <w:szCs w:val="24"/>
        </w:rPr>
        <w:t>Kırkgöz</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Ağçam</w:t>
      </w:r>
      <w:proofErr w:type="spellEnd"/>
      <w:r>
        <w:rPr>
          <w:rFonts w:ascii="Times New Roman" w:eastAsia="Times New Roman" w:hAnsi="Times New Roman" w:cs="Times New Roman"/>
          <w:sz w:val="24"/>
          <w:szCs w:val="24"/>
        </w:rPr>
        <w:t>, 2011).</w:t>
      </w:r>
    </w:p>
    <w:p w14:paraId="6670CEAE"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B5D87C"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findings, read in the light of Huang’s (2019) note that just integrating items from different cultures that are statistically equal into textbooks does not guarantee that students will develop awareness of cultural diversity. To build learners’ intercultural communicative skills, the deliberate integration of cultural elements with accompanied tasks—rather than just quantity—is essential </w:t>
      </w:r>
      <w:r>
        <w:t>(</w:t>
      </w:r>
      <w:r>
        <w:rPr>
          <w:rFonts w:ascii="Times New Roman" w:eastAsia="Times New Roman" w:hAnsi="Times New Roman" w:cs="Times New Roman"/>
          <w:sz w:val="24"/>
          <w:szCs w:val="24"/>
        </w:rPr>
        <w:t xml:space="preserve">Afifah, &amp; </w:t>
      </w:r>
      <w:proofErr w:type="spellStart"/>
      <w:r>
        <w:rPr>
          <w:rFonts w:ascii="Times New Roman" w:eastAsia="Times New Roman" w:hAnsi="Times New Roman" w:cs="Times New Roman"/>
          <w:sz w:val="24"/>
          <w:szCs w:val="24"/>
        </w:rPr>
        <w:t>Zuchdi</w:t>
      </w:r>
      <w:proofErr w:type="spellEnd"/>
      <w:r>
        <w:rPr>
          <w:rFonts w:ascii="Times New Roman" w:eastAsia="Times New Roman" w:hAnsi="Times New Roman" w:cs="Times New Roman"/>
          <w:sz w:val="24"/>
          <w:szCs w:val="24"/>
        </w:rPr>
        <w:t xml:space="preserve">, 2018; </w:t>
      </w:r>
      <w:proofErr w:type="spellStart"/>
      <w:r>
        <w:rPr>
          <w:rFonts w:ascii="Times New Roman" w:eastAsia="Times New Roman" w:hAnsi="Times New Roman" w:cs="Times New Roman"/>
          <w:sz w:val="24"/>
          <w:szCs w:val="24"/>
        </w:rPr>
        <w:t>Ağcihan</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Gokce</w:t>
      </w:r>
      <w:proofErr w:type="spellEnd"/>
      <w:r>
        <w:rPr>
          <w:rFonts w:ascii="Times New Roman" w:eastAsia="Times New Roman" w:hAnsi="Times New Roman" w:cs="Times New Roman"/>
          <w:sz w:val="24"/>
          <w:szCs w:val="24"/>
        </w:rPr>
        <w:t>, 2018; Eslami &amp; Chen, 2011; Gashi, 2021; Zhang &amp; Lütge, 2023).</w:t>
      </w:r>
    </w:p>
    <w:p w14:paraId="2B3EB669" w14:textId="77777777" w:rsidR="006F502E" w:rsidRDefault="006F502E">
      <w:pPr>
        <w:spacing w:after="0" w:line="240" w:lineRule="auto"/>
        <w:jc w:val="both"/>
        <w:rPr>
          <w:rFonts w:ascii="Times New Roman" w:eastAsia="Times New Roman" w:hAnsi="Times New Roman" w:cs="Times New Roman"/>
          <w:sz w:val="24"/>
          <w:szCs w:val="24"/>
        </w:rPr>
      </w:pPr>
    </w:p>
    <w:p w14:paraId="1FE897D0"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this study can help educators and stakeholders better understand how to develop culturally sensitive materials to improve students' intercultural competency (Gashi, 2021). This </w:t>
      </w:r>
      <w:r>
        <w:rPr>
          <w:rFonts w:ascii="Times New Roman" w:eastAsia="Times New Roman" w:hAnsi="Times New Roman" w:cs="Times New Roman"/>
          <w:sz w:val="24"/>
          <w:szCs w:val="24"/>
        </w:rPr>
        <w:lastRenderedPageBreak/>
        <w:t>holds especially for the local Turkish textbook evaluated in this study. However, it is important to keep in mind that textbook authors may be forced to condense, limit, and leave out important details that are necessary for true cultural acquisition due to space constraints (Huang, 2019; Gashi, 2021;</w:t>
      </w:r>
      <w:r>
        <w:t xml:space="preserve"> </w:t>
      </w:r>
      <w:proofErr w:type="spellStart"/>
      <w:r>
        <w:rPr>
          <w:rFonts w:ascii="Times New Roman" w:eastAsia="Times New Roman" w:hAnsi="Times New Roman" w:cs="Times New Roman"/>
          <w:sz w:val="24"/>
          <w:szCs w:val="24"/>
        </w:rPr>
        <w:t>Cahyati</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Rahmijati</w:t>
      </w:r>
      <w:proofErr w:type="spellEnd"/>
      <w:r>
        <w:rPr>
          <w:rFonts w:ascii="Times New Roman" w:eastAsia="Times New Roman" w:hAnsi="Times New Roman" w:cs="Times New Roman"/>
          <w:sz w:val="24"/>
          <w:szCs w:val="24"/>
        </w:rPr>
        <w:t>, 2017). This highlights the difficulty of preparing materials and teaching about culture, which involves more than just naming and displaying some cultural information. Finding out whether cultural aspects of various cultures are represented in textbooks may serve as a starting point for the development of materials that support global citizens with the intercultural communicative competence to communicate with different cultures (</w:t>
      </w:r>
      <w:proofErr w:type="spellStart"/>
      <w:r>
        <w:rPr>
          <w:rFonts w:ascii="Times New Roman" w:eastAsia="Times New Roman" w:hAnsi="Times New Roman" w:cs="Times New Roman"/>
          <w:sz w:val="24"/>
          <w:szCs w:val="24"/>
        </w:rPr>
        <w:t>Dooly</w:t>
      </w:r>
      <w:proofErr w:type="spellEnd"/>
      <w:r>
        <w:rPr>
          <w:rFonts w:ascii="Times New Roman" w:eastAsia="Times New Roman" w:hAnsi="Times New Roman" w:cs="Times New Roman"/>
          <w:sz w:val="24"/>
          <w:szCs w:val="24"/>
        </w:rPr>
        <w:t xml:space="preserve"> &amp; Villanueva, 2006). It is also recommended that authors and teachers should be trained in intercultural competence and awareness of different cultures.</w:t>
      </w:r>
    </w:p>
    <w:p w14:paraId="3914CCD9" w14:textId="77777777" w:rsidR="006F502E" w:rsidRDefault="006F502E">
      <w:pPr>
        <w:spacing w:after="0" w:line="240" w:lineRule="auto"/>
        <w:rPr>
          <w:rFonts w:ascii="Times New Roman" w:eastAsia="Times New Roman" w:hAnsi="Times New Roman" w:cs="Times New Roman"/>
          <w:color w:val="2F5496"/>
          <w:sz w:val="24"/>
          <w:szCs w:val="24"/>
        </w:rPr>
      </w:pPr>
    </w:p>
    <w:p w14:paraId="6E0362D7"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is limited to only two textbooks. Further studies should evaluate materials from other levels of primary or secondary school, and analysing textbooks from other countries would lead to a more comprehensive understanding of how culture is displayed in English language teaching materials.</w:t>
      </w:r>
    </w:p>
    <w:p w14:paraId="12F3D349"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References</w:t>
      </w:r>
    </w:p>
    <w:p w14:paraId="2EFD50B1"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470D607B"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Abbey, S., Donoghue, F., &amp; </w:t>
      </w:r>
      <w:proofErr w:type="spellStart"/>
      <w:r>
        <w:rPr>
          <w:rFonts w:ascii="Times New Roman" w:eastAsia="Times New Roman" w:hAnsi="Times New Roman" w:cs="Times New Roman"/>
          <w:sz w:val="24"/>
          <w:szCs w:val="24"/>
        </w:rPr>
        <w:t>Biederstädt</w:t>
      </w:r>
      <w:proofErr w:type="spellEnd"/>
      <w:r>
        <w:rPr>
          <w:rFonts w:ascii="Times New Roman" w:eastAsia="Times New Roman" w:hAnsi="Times New Roman" w:cs="Times New Roman"/>
          <w:sz w:val="24"/>
          <w:szCs w:val="24"/>
        </w:rPr>
        <w:t xml:space="preserve">, W. (2016). </w:t>
      </w:r>
      <w:r>
        <w:rPr>
          <w:rFonts w:ascii="Times New Roman" w:eastAsia="Times New Roman" w:hAnsi="Times New Roman" w:cs="Times New Roman"/>
          <w:i/>
          <w:sz w:val="24"/>
          <w:szCs w:val="24"/>
        </w:rPr>
        <w:t xml:space="preserve">Lighthouse 2 </w:t>
      </w:r>
      <w:proofErr w:type="spellStart"/>
      <w:r>
        <w:rPr>
          <w:rFonts w:ascii="Times New Roman" w:eastAsia="Times New Roman" w:hAnsi="Times New Roman" w:cs="Times New Roman"/>
          <w:i/>
          <w:sz w:val="24"/>
          <w:szCs w:val="24"/>
        </w:rPr>
        <w:t>Lehrerfassung</w:t>
      </w:r>
      <w:proofErr w:type="spellEnd"/>
      <w:r>
        <w:rPr>
          <w:rFonts w:ascii="Times New Roman" w:eastAsia="Times New Roman" w:hAnsi="Times New Roman" w:cs="Times New Roman"/>
          <w:sz w:val="24"/>
          <w:szCs w:val="24"/>
        </w:rPr>
        <w:t>. Cornelsen.</w:t>
      </w:r>
    </w:p>
    <w:p w14:paraId="673B21C7"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628BB9FD"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 xml:space="preserve">Afifah, W., &amp; </w:t>
      </w:r>
      <w:proofErr w:type="spellStart"/>
      <w:r>
        <w:rPr>
          <w:rFonts w:ascii="Times New Roman" w:eastAsia="Times New Roman" w:hAnsi="Times New Roman" w:cs="Times New Roman"/>
          <w:sz w:val="24"/>
          <w:szCs w:val="24"/>
        </w:rPr>
        <w:t>Zuchdi</w:t>
      </w:r>
      <w:proofErr w:type="spellEnd"/>
      <w:r>
        <w:rPr>
          <w:rFonts w:ascii="Times New Roman" w:eastAsia="Times New Roman" w:hAnsi="Times New Roman" w:cs="Times New Roman"/>
          <w:sz w:val="24"/>
          <w:szCs w:val="24"/>
        </w:rPr>
        <w:t xml:space="preserve">, D. (2018). Developing culture-based English instructional materials for grade VII of junior high school students. </w:t>
      </w:r>
      <w:r>
        <w:rPr>
          <w:rFonts w:ascii="Times New Roman" w:eastAsia="Times New Roman" w:hAnsi="Times New Roman" w:cs="Times New Roman"/>
          <w:i/>
          <w:sz w:val="24"/>
          <w:szCs w:val="24"/>
        </w:rPr>
        <w:t>English Language Teaching Educational Journal, 1</w:t>
      </w:r>
      <w:r>
        <w:rPr>
          <w:rFonts w:ascii="Times New Roman" w:eastAsia="Times New Roman" w:hAnsi="Times New Roman" w:cs="Times New Roman"/>
          <w:sz w:val="24"/>
          <w:szCs w:val="24"/>
        </w:rPr>
        <w:t>(2), 76-96. https://doi.org/10.12928/eltej.v1i2.390</w:t>
      </w:r>
    </w:p>
    <w:p w14:paraId="256B11ED"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179B83F9"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Ağcihan</w:t>
      </w:r>
      <w:proofErr w:type="spellEnd"/>
      <w:r>
        <w:rPr>
          <w:rFonts w:ascii="Times New Roman" w:eastAsia="Times New Roman" w:hAnsi="Times New Roman" w:cs="Times New Roman"/>
          <w:sz w:val="24"/>
          <w:szCs w:val="24"/>
        </w:rPr>
        <w:t xml:space="preserve">, E., &amp; Gökçe, A. T. (2018).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types of discrimination in Turkish for </w:t>
      </w:r>
      <w:proofErr w:type="gramStart"/>
      <w:r>
        <w:rPr>
          <w:rFonts w:ascii="Times New Roman" w:eastAsia="Times New Roman" w:hAnsi="Times New Roman" w:cs="Times New Roman"/>
          <w:sz w:val="24"/>
          <w:szCs w:val="24"/>
        </w:rPr>
        <w:t>foreigners</w:t>
      </w:r>
      <w:proofErr w:type="gramEnd"/>
      <w:r>
        <w:rPr>
          <w:rFonts w:ascii="Times New Roman" w:eastAsia="Times New Roman" w:hAnsi="Times New Roman" w:cs="Times New Roman"/>
          <w:sz w:val="24"/>
          <w:szCs w:val="24"/>
        </w:rPr>
        <w:t xml:space="preserve"> books. </w:t>
      </w:r>
      <w:r>
        <w:rPr>
          <w:rFonts w:ascii="Times New Roman" w:eastAsia="Times New Roman" w:hAnsi="Times New Roman" w:cs="Times New Roman"/>
          <w:i/>
          <w:sz w:val="24"/>
          <w:szCs w:val="24"/>
        </w:rPr>
        <w:t>Universal Journal of Educational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(2), 257-264.</w:t>
      </w:r>
    </w:p>
    <w:p w14:paraId="442296E3"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https://doi.org/ 10.13189/ujer.2018.060207</w:t>
      </w:r>
    </w:p>
    <w:p w14:paraId="7E035B7A"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61D94F6E"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Allwright, R., Allwright, D., &amp; Bailey, K. M. (1991). </w:t>
      </w:r>
      <w:r>
        <w:rPr>
          <w:rFonts w:ascii="Times New Roman" w:eastAsia="Times New Roman" w:hAnsi="Times New Roman" w:cs="Times New Roman"/>
          <w:i/>
          <w:color w:val="000000"/>
          <w:sz w:val="24"/>
          <w:szCs w:val="24"/>
        </w:rPr>
        <w:t>Focus on the language classroom: An introduction to classroom research for language teachers</w:t>
      </w:r>
      <w:r>
        <w:rPr>
          <w:rFonts w:ascii="Times New Roman" w:eastAsia="Times New Roman" w:hAnsi="Times New Roman" w:cs="Times New Roman"/>
          <w:color w:val="000000"/>
          <w:sz w:val="24"/>
          <w:szCs w:val="24"/>
        </w:rPr>
        <w:t>. Cambridge University Press.</w:t>
      </w:r>
    </w:p>
    <w:p w14:paraId="68C90F64"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46066C5"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Alptekin, C. (1993). Target-language culture in EFL materials. </w:t>
      </w:r>
      <w:r>
        <w:rPr>
          <w:rFonts w:ascii="Times New Roman" w:eastAsia="Times New Roman" w:hAnsi="Times New Roman" w:cs="Times New Roman"/>
          <w:i/>
          <w:sz w:val="24"/>
          <w:szCs w:val="24"/>
        </w:rPr>
        <w:t>ELT Journal, 47</w:t>
      </w:r>
      <w:r>
        <w:rPr>
          <w:rFonts w:ascii="Times New Roman" w:eastAsia="Times New Roman" w:hAnsi="Times New Roman" w:cs="Times New Roman"/>
          <w:sz w:val="24"/>
          <w:szCs w:val="24"/>
        </w:rPr>
        <w:t>(2), 136–143. https://doi.org/10.1093/elt/47.2.136</w:t>
      </w:r>
    </w:p>
    <w:p w14:paraId="01533537"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02D2172"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Alptekin, C. (2002). Towards intercultural communicative competence in ELT. </w:t>
      </w:r>
      <w:r>
        <w:rPr>
          <w:rFonts w:ascii="Times New Roman" w:eastAsia="Times New Roman" w:hAnsi="Times New Roman" w:cs="Times New Roman"/>
          <w:i/>
          <w:sz w:val="24"/>
          <w:szCs w:val="24"/>
        </w:rPr>
        <w:t>ELT Journal, 56</w:t>
      </w:r>
      <w:r>
        <w:rPr>
          <w:rFonts w:ascii="Times New Roman" w:eastAsia="Times New Roman" w:hAnsi="Times New Roman" w:cs="Times New Roman"/>
          <w:sz w:val="24"/>
          <w:szCs w:val="24"/>
        </w:rPr>
        <w:t>(1), 57-64. https://doi.org/10.1093/elt/56.1.57</w:t>
      </w:r>
    </w:p>
    <w:p w14:paraId="0E69018A" w14:textId="77777777" w:rsidR="006F502E" w:rsidRDefault="006F502E">
      <w:pPr>
        <w:spacing w:after="0" w:line="240" w:lineRule="auto"/>
        <w:jc w:val="both"/>
        <w:rPr>
          <w:rFonts w:ascii="Times New Roman" w:eastAsia="Times New Roman" w:hAnsi="Times New Roman" w:cs="Times New Roman"/>
          <w:sz w:val="24"/>
          <w:szCs w:val="24"/>
        </w:rPr>
      </w:pPr>
    </w:p>
    <w:p w14:paraId="6D6CB22B"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Azizifar</w:t>
      </w:r>
      <w:proofErr w:type="spellEnd"/>
      <w:r>
        <w:rPr>
          <w:rFonts w:ascii="Times New Roman" w:eastAsia="Times New Roman" w:hAnsi="Times New Roman" w:cs="Times New Roman"/>
          <w:sz w:val="24"/>
          <w:szCs w:val="24"/>
        </w:rPr>
        <w:t>, A., Koosha, M., &amp; Lotfi, A. R. (2010). An analytical evaluation of locally produced Iranian high school ELT textbooks from 1970 to the present. </w:t>
      </w:r>
      <w:r>
        <w:rPr>
          <w:rFonts w:ascii="Times New Roman" w:eastAsia="Times New Roman" w:hAnsi="Times New Roman" w:cs="Times New Roman"/>
          <w:i/>
          <w:sz w:val="24"/>
          <w:szCs w:val="24"/>
        </w:rPr>
        <w:t>English Language Teaching</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(4), 132-141.</w:t>
      </w:r>
    </w:p>
    <w:p w14:paraId="7DFC0DCF" w14:textId="77777777" w:rsidR="006F502E" w:rsidRDefault="006F502E">
      <w:pPr>
        <w:spacing w:after="0" w:line="240" w:lineRule="auto"/>
        <w:jc w:val="both"/>
        <w:rPr>
          <w:rFonts w:ascii="Times New Roman" w:eastAsia="Times New Roman" w:hAnsi="Times New Roman" w:cs="Times New Roman"/>
          <w:sz w:val="24"/>
          <w:szCs w:val="24"/>
        </w:rPr>
      </w:pPr>
    </w:p>
    <w:p w14:paraId="49AAB782"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Byram, M. (1989). </w:t>
      </w:r>
      <w:r>
        <w:rPr>
          <w:rFonts w:ascii="Times New Roman" w:eastAsia="Times New Roman" w:hAnsi="Times New Roman" w:cs="Times New Roman"/>
          <w:i/>
          <w:sz w:val="24"/>
          <w:szCs w:val="24"/>
        </w:rPr>
        <w:t xml:space="preserve">Cultural studies in foreign language education </w:t>
      </w:r>
      <w:r>
        <w:rPr>
          <w:rFonts w:ascii="Times New Roman" w:eastAsia="Times New Roman" w:hAnsi="Times New Roman" w:cs="Times New Roman"/>
          <w:sz w:val="24"/>
          <w:szCs w:val="24"/>
        </w:rPr>
        <w:t>(Vol. 46). Multilingual Matters.</w:t>
      </w:r>
    </w:p>
    <w:p w14:paraId="354ED310" w14:textId="77777777" w:rsidR="006F502E" w:rsidRDefault="006F502E">
      <w:pPr>
        <w:spacing w:after="0" w:line="240" w:lineRule="auto"/>
        <w:jc w:val="both"/>
        <w:rPr>
          <w:rFonts w:ascii="Times New Roman" w:eastAsia="Times New Roman" w:hAnsi="Times New Roman" w:cs="Times New Roman"/>
          <w:sz w:val="24"/>
          <w:szCs w:val="24"/>
        </w:rPr>
      </w:pPr>
    </w:p>
    <w:p w14:paraId="2C03E8AD"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Byram, M. (2012). Language awareness and (critical) cultural awareness–relationships, comparisons and contrasts. </w:t>
      </w:r>
      <w:r>
        <w:rPr>
          <w:rFonts w:ascii="Times New Roman" w:eastAsia="Times New Roman" w:hAnsi="Times New Roman" w:cs="Times New Roman"/>
          <w:i/>
          <w:sz w:val="24"/>
          <w:szCs w:val="24"/>
        </w:rPr>
        <w:t>Language Awareness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 xml:space="preserve">(1-2), 5-13. </w:t>
      </w:r>
    </w:p>
    <w:p w14:paraId="2D0202D9"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https://doi.org/10.1080/09658416.2011.639887</w:t>
      </w:r>
    </w:p>
    <w:p w14:paraId="41341C0B" w14:textId="77777777" w:rsidR="006F502E" w:rsidRDefault="006F502E">
      <w:pPr>
        <w:spacing w:after="0" w:line="240" w:lineRule="auto"/>
        <w:jc w:val="both"/>
        <w:rPr>
          <w:rFonts w:ascii="Times New Roman" w:eastAsia="Times New Roman" w:hAnsi="Times New Roman" w:cs="Times New Roman"/>
          <w:sz w:val="24"/>
          <w:szCs w:val="24"/>
        </w:rPr>
      </w:pPr>
    </w:p>
    <w:p w14:paraId="0724AA57"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Byram, M. (2013). Foreign language teaching and intercultural citizenship. </w:t>
      </w:r>
      <w:r>
        <w:rPr>
          <w:rFonts w:ascii="Times New Roman" w:eastAsia="Times New Roman" w:hAnsi="Times New Roman" w:cs="Times New Roman"/>
          <w:i/>
          <w:sz w:val="24"/>
          <w:szCs w:val="24"/>
        </w:rPr>
        <w:t>Iranian Journal of Language Teaching Research</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(3), 53-62.</w:t>
      </w:r>
    </w:p>
    <w:p w14:paraId="24A78501"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https://ijltr.urmia.ac.ir/article_20433_9c13ce1ef90c5d10379615f9bad592b3.pdf</w:t>
      </w:r>
    </w:p>
    <w:p w14:paraId="49A63015" w14:textId="77777777" w:rsidR="006F502E" w:rsidRDefault="006F502E">
      <w:pPr>
        <w:spacing w:after="0" w:line="240" w:lineRule="auto"/>
        <w:jc w:val="both"/>
        <w:rPr>
          <w:rFonts w:ascii="Times New Roman" w:eastAsia="Times New Roman" w:hAnsi="Times New Roman" w:cs="Times New Roman"/>
          <w:sz w:val="24"/>
          <w:szCs w:val="24"/>
        </w:rPr>
      </w:pPr>
    </w:p>
    <w:p w14:paraId="078F82BA" w14:textId="77777777" w:rsidR="006F502E" w:rsidRDefault="00000000">
      <w:pPr>
        <w:spacing w:after="0" w:line="240" w:lineRule="auto"/>
        <w:jc w:val="both"/>
        <w:rPr>
          <w:rFonts w:ascii="Times New Roman" w:eastAsia="Times New Roman" w:hAnsi="Times New Roman" w:cs="Times New Roman"/>
          <w:sz w:val="24"/>
          <w:szCs w:val="24"/>
        </w:rPr>
      </w:pPr>
      <w:bookmarkStart w:id="1" w:name="_heading=h.30j0zll" w:colFirst="0" w:colLast="0"/>
      <w:bookmarkEnd w:id="1"/>
      <w:r w:rsidRPr="00C169EA">
        <w:rPr>
          <w:rFonts w:ascii="Times New Roman" w:eastAsia="Times New Roman" w:hAnsi="Times New Roman" w:cs="Times New Roman"/>
          <w:sz w:val="24"/>
          <w:szCs w:val="24"/>
          <w:lang w:val="pl-PL"/>
        </w:rPr>
        <w:t xml:space="preserve">Cahyati, S. S., &amp; Rahmijati, C. (2017). </w:t>
      </w:r>
      <w:r>
        <w:rPr>
          <w:rFonts w:ascii="Times New Roman" w:eastAsia="Times New Roman" w:hAnsi="Times New Roman" w:cs="Times New Roman"/>
          <w:sz w:val="24"/>
          <w:szCs w:val="24"/>
        </w:rPr>
        <w:t xml:space="preserve">Exploring local values and culture in English textbook. </w:t>
      </w:r>
      <w:r>
        <w:rPr>
          <w:rFonts w:ascii="Times New Roman" w:eastAsia="Times New Roman" w:hAnsi="Times New Roman" w:cs="Times New Roman"/>
          <w:i/>
          <w:sz w:val="24"/>
          <w:szCs w:val="24"/>
        </w:rPr>
        <w:t>Lingual: Journal of Language and Culture, 4</w:t>
      </w:r>
      <w:r>
        <w:rPr>
          <w:rFonts w:ascii="Times New Roman" w:eastAsia="Times New Roman" w:hAnsi="Times New Roman" w:cs="Times New Roman"/>
          <w:sz w:val="24"/>
          <w:szCs w:val="24"/>
        </w:rPr>
        <w:t>(2), 45.</w:t>
      </w:r>
    </w:p>
    <w:p w14:paraId="2796DF08"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https://doi.org/10.24843/LJLC.2017.v04.i02.p07</w:t>
      </w:r>
    </w:p>
    <w:p w14:paraId="61F6F7FE" w14:textId="77777777" w:rsidR="006F502E" w:rsidRDefault="006F502E">
      <w:pPr>
        <w:spacing w:after="0" w:line="240" w:lineRule="auto"/>
        <w:jc w:val="both"/>
        <w:rPr>
          <w:rFonts w:ascii="Times New Roman" w:eastAsia="Times New Roman" w:hAnsi="Times New Roman" w:cs="Times New Roman"/>
          <w:sz w:val="24"/>
          <w:szCs w:val="24"/>
        </w:rPr>
      </w:pPr>
    </w:p>
    <w:p w14:paraId="5A94AD0E"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Canagarajah</w:t>
      </w:r>
      <w:proofErr w:type="spellEnd"/>
      <w:r>
        <w:rPr>
          <w:rFonts w:ascii="Times New Roman" w:eastAsia="Times New Roman" w:hAnsi="Times New Roman" w:cs="Times New Roman"/>
          <w:sz w:val="24"/>
          <w:szCs w:val="24"/>
        </w:rPr>
        <w:t xml:space="preserve">, A. S. (2003). </w:t>
      </w:r>
      <w:r>
        <w:rPr>
          <w:rFonts w:ascii="Times New Roman" w:eastAsia="Times New Roman" w:hAnsi="Times New Roman" w:cs="Times New Roman"/>
          <w:i/>
          <w:sz w:val="24"/>
          <w:szCs w:val="24"/>
        </w:rPr>
        <w:t>Resisting linguistic imperialism in English teaching.</w:t>
      </w:r>
      <w:r>
        <w:rPr>
          <w:rFonts w:ascii="Times New Roman" w:eastAsia="Times New Roman" w:hAnsi="Times New Roman" w:cs="Times New Roman"/>
          <w:sz w:val="24"/>
          <w:szCs w:val="24"/>
        </w:rPr>
        <w:t xml:space="preserve"> Oxford: Oxford University Press.</w:t>
      </w:r>
    </w:p>
    <w:p w14:paraId="14BFCD80" w14:textId="77777777" w:rsidR="006F502E" w:rsidRDefault="006F502E">
      <w:pPr>
        <w:spacing w:after="0" w:line="240" w:lineRule="auto"/>
        <w:jc w:val="both"/>
        <w:rPr>
          <w:rFonts w:ascii="Times New Roman" w:eastAsia="Times New Roman" w:hAnsi="Times New Roman" w:cs="Times New Roman"/>
          <w:sz w:val="24"/>
          <w:szCs w:val="24"/>
        </w:rPr>
      </w:pPr>
    </w:p>
    <w:p w14:paraId="1D3B720E"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C. H. (2000). </w:t>
      </w:r>
      <w:r>
        <w:rPr>
          <w:rFonts w:ascii="Times New Roman" w:eastAsia="Times New Roman" w:hAnsi="Times New Roman" w:cs="Times New Roman"/>
          <w:i/>
          <w:sz w:val="24"/>
          <w:szCs w:val="24"/>
        </w:rPr>
        <w:t xml:space="preserve">Senior high school English teachers’ perceptions of the new English teaching materials and their usage in southern Taiwan. </w:t>
      </w:r>
      <w:r>
        <w:rPr>
          <w:rFonts w:ascii="Times New Roman" w:eastAsia="Times New Roman" w:hAnsi="Times New Roman" w:cs="Times New Roman"/>
          <w:sz w:val="24"/>
          <w:szCs w:val="24"/>
        </w:rPr>
        <w:t xml:space="preserve">Unpublished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Kaohsiung, Taiwan, National Kaohsiung Normal University.</w:t>
      </w:r>
    </w:p>
    <w:p w14:paraId="0C9352AA" w14:textId="77777777" w:rsidR="006F502E" w:rsidRDefault="006F502E">
      <w:pPr>
        <w:spacing w:after="0" w:line="240" w:lineRule="auto"/>
        <w:jc w:val="both"/>
        <w:rPr>
          <w:rFonts w:ascii="Times New Roman" w:eastAsia="Times New Roman" w:hAnsi="Times New Roman" w:cs="Times New Roman"/>
          <w:sz w:val="24"/>
          <w:szCs w:val="24"/>
        </w:rPr>
      </w:pPr>
    </w:p>
    <w:p w14:paraId="0AD6F37E"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Cohen, L., Manion, L., &amp; Morrison, K. (2000). Action research. </w:t>
      </w:r>
      <w:r>
        <w:rPr>
          <w:rFonts w:ascii="Times New Roman" w:eastAsia="Times New Roman" w:hAnsi="Times New Roman" w:cs="Times New Roman"/>
          <w:i/>
          <w:sz w:val="24"/>
          <w:szCs w:val="24"/>
        </w:rPr>
        <w:t>Research Methods in Education</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226-244. https://doi.org/10.4324/9781315456539</w:t>
      </w:r>
    </w:p>
    <w:p w14:paraId="7347D0EF" w14:textId="77777777" w:rsidR="006F502E" w:rsidRDefault="006F502E">
      <w:pPr>
        <w:spacing w:after="0" w:line="240" w:lineRule="auto"/>
        <w:jc w:val="both"/>
        <w:rPr>
          <w:rFonts w:ascii="Times New Roman" w:eastAsia="Times New Roman" w:hAnsi="Times New Roman" w:cs="Times New Roman"/>
          <w:sz w:val="24"/>
          <w:szCs w:val="24"/>
        </w:rPr>
      </w:pPr>
    </w:p>
    <w:p w14:paraId="25274874"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Cortazzi</w:t>
      </w:r>
      <w:proofErr w:type="spellEnd"/>
      <w:r>
        <w:rPr>
          <w:rFonts w:ascii="Times New Roman" w:eastAsia="Times New Roman" w:hAnsi="Times New Roman" w:cs="Times New Roman"/>
          <w:sz w:val="24"/>
          <w:szCs w:val="24"/>
        </w:rPr>
        <w:t xml:space="preserve">, M., &amp; Jin, L. (1999). Cultural mirrors. In E. Hinkel (Ed.), </w:t>
      </w:r>
      <w:r>
        <w:rPr>
          <w:rFonts w:ascii="Times New Roman" w:eastAsia="Times New Roman" w:hAnsi="Times New Roman" w:cs="Times New Roman"/>
          <w:i/>
          <w:sz w:val="24"/>
          <w:szCs w:val="24"/>
        </w:rPr>
        <w:t>Culture in second language teaching and learning</w:t>
      </w:r>
      <w:r>
        <w:rPr>
          <w:rFonts w:ascii="Times New Roman" w:eastAsia="Times New Roman" w:hAnsi="Times New Roman" w:cs="Times New Roman"/>
          <w:sz w:val="24"/>
          <w:szCs w:val="24"/>
        </w:rPr>
        <w:t xml:space="preserve"> (pp. 196-219). Cambridge University Press.</w:t>
      </w:r>
    </w:p>
    <w:p w14:paraId="6F1345B5" w14:textId="77777777" w:rsidR="006F502E" w:rsidRDefault="006F502E">
      <w:pPr>
        <w:spacing w:after="0" w:line="240" w:lineRule="auto"/>
        <w:jc w:val="both"/>
        <w:rPr>
          <w:rFonts w:ascii="Times New Roman" w:eastAsia="Times New Roman" w:hAnsi="Times New Roman" w:cs="Times New Roman"/>
          <w:sz w:val="24"/>
          <w:szCs w:val="24"/>
        </w:rPr>
      </w:pPr>
    </w:p>
    <w:p w14:paraId="51661A1A"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Crystal, D. (2012). </w:t>
      </w:r>
      <w:r>
        <w:rPr>
          <w:rFonts w:ascii="Times New Roman" w:eastAsia="Times New Roman" w:hAnsi="Times New Roman" w:cs="Times New Roman"/>
          <w:i/>
          <w:sz w:val="24"/>
          <w:szCs w:val="24"/>
        </w:rPr>
        <w:t>English as a global language</w:t>
      </w:r>
      <w:r>
        <w:rPr>
          <w:rFonts w:ascii="Times New Roman" w:eastAsia="Times New Roman" w:hAnsi="Times New Roman" w:cs="Times New Roman"/>
          <w:sz w:val="24"/>
          <w:szCs w:val="24"/>
        </w:rPr>
        <w:t>. Cambridge University Press.</w:t>
      </w:r>
    </w:p>
    <w:p w14:paraId="55044045" w14:textId="77777777" w:rsidR="006F502E" w:rsidRDefault="006F502E">
      <w:pPr>
        <w:spacing w:after="0" w:line="240" w:lineRule="auto"/>
        <w:jc w:val="both"/>
        <w:rPr>
          <w:rFonts w:ascii="Times New Roman" w:eastAsia="Times New Roman" w:hAnsi="Times New Roman" w:cs="Times New Roman"/>
          <w:sz w:val="24"/>
          <w:szCs w:val="24"/>
        </w:rPr>
      </w:pPr>
    </w:p>
    <w:p w14:paraId="1F227554"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Çakır</w:t>
      </w:r>
      <w:proofErr w:type="spellEnd"/>
      <w:r>
        <w:rPr>
          <w:rFonts w:ascii="Times New Roman" w:eastAsia="Times New Roman" w:hAnsi="Times New Roman" w:cs="Times New Roman"/>
          <w:sz w:val="24"/>
          <w:szCs w:val="24"/>
        </w:rPr>
        <w:t xml:space="preserve">, I. (2010). The frequency of culture-specific elements in the ELT coursebooks at elementary schools in Turkey. </w:t>
      </w:r>
      <w:proofErr w:type="spellStart"/>
      <w:r>
        <w:rPr>
          <w:rFonts w:ascii="Times New Roman" w:eastAsia="Times New Roman" w:hAnsi="Times New Roman" w:cs="Times New Roman"/>
          <w:i/>
          <w:sz w:val="24"/>
          <w:szCs w:val="24"/>
        </w:rPr>
        <w:t>Novitas</w:t>
      </w:r>
      <w:proofErr w:type="spellEnd"/>
      <w:r>
        <w:rPr>
          <w:rFonts w:ascii="Times New Roman" w:eastAsia="Times New Roman" w:hAnsi="Times New Roman" w:cs="Times New Roman"/>
          <w:i/>
          <w:sz w:val="24"/>
          <w:szCs w:val="24"/>
        </w:rPr>
        <w:t>-ROYAL. Research on Youth and Language, 4</w:t>
      </w:r>
      <w:r>
        <w:rPr>
          <w:rFonts w:ascii="Times New Roman" w:eastAsia="Times New Roman" w:hAnsi="Times New Roman" w:cs="Times New Roman"/>
          <w:sz w:val="24"/>
          <w:szCs w:val="24"/>
        </w:rPr>
        <w:t xml:space="preserve">(2). </w:t>
      </w:r>
      <w:hyperlink r:id="rId6">
        <w:r>
          <w:rPr>
            <w:rFonts w:ascii="Times New Roman" w:eastAsia="Times New Roman" w:hAnsi="Times New Roman" w:cs="Times New Roman"/>
            <w:color w:val="0563C1"/>
            <w:sz w:val="24"/>
            <w:szCs w:val="24"/>
          </w:rPr>
          <w:t>https://dergipark.org.tr/tr/download/article-file/111854</w:t>
        </w:r>
      </w:hyperlink>
    </w:p>
    <w:p w14:paraId="07FBDE54" w14:textId="77777777" w:rsidR="006F502E" w:rsidRDefault="006F502E">
      <w:pPr>
        <w:spacing w:after="0" w:line="240" w:lineRule="auto"/>
        <w:jc w:val="both"/>
        <w:rPr>
          <w:rFonts w:ascii="Times New Roman" w:eastAsia="Times New Roman" w:hAnsi="Times New Roman" w:cs="Times New Roman"/>
          <w:sz w:val="24"/>
          <w:szCs w:val="24"/>
        </w:rPr>
      </w:pPr>
    </w:p>
    <w:p w14:paraId="648CE294"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Çelik, S., &amp; Erbay, Ş. (2013). Cultural perspectives of Turkish ELT coursebooks: Do standardized teaching texts incorporate intercultural features? </w:t>
      </w:r>
      <w:r>
        <w:rPr>
          <w:rFonts w:ascii="Times New Roman" w:eastAsia="Times New Roman" w:hAnsi="Times New Roman" w:cs="Times New Roman"/>
          <w:i/>
          <w:sz w:val="24"/>
          <w:szCs w:val="24"/>
        </w:rPr>
        <w:t>Education &amp; Science</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38</w:t>
      </w:r>
      <w:r>
        <w:rPr>
          <w:rFonts w:ascii="Times New Roman" w:eastAsia="Times New Roman" w:hAnsi="Times New Roman" w:cs="Times New Roman"/>
          <w:sz w:val="24"/>
          <w:szCs w:val="24"/>
        </w:rPr>
        <w:t>(167). https://egitimvebilim.ted.org.tr/index.php/EB/article/view/1873/487</w:t>
      </w:r>
    </w:p>
    <w:p w14:paraId="0BDD2C19" w14:textId="77777777" w:rsidR="006F502E" w:rsidRDefault="006F502E">
      <w:pPr>
        <w:spacing w:after="0" w:line="240" w:lineRule="auto"/>
        <w:jc w:val="both"/>
        <w:rPr>
          <w:rFonts w:ascii="Times New Roman" w:eastAsia="Times New Roman" w:hAnsi="Times New Roman" w:cs="Times New Roman"/>
          <w:sz w:val="24"/>
          <w:szCs w:val="24"/>
        </w:rPr>
      </w:pPr>
    </w:p>
    <w:p w14:paraId="3EF176E0" w14:textId="77777777" w:rsidR="006F502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Çolak, İ. (2023). ‘‘Bir </w:t>
      </w:r>
      <w:proofErr w:type="spellStart"/>
      <w:r>
        <w:rPr>
          <w:rFonts w:ascii="Times New Roman" w:eastAsia="Times New Roman" w:hAnsi="Times New Roman" w:cs="Times New Roman"/>
          <w:sz w:val="24"/>
          <w:szCs w:val="24"/>
        </w:rPr>
        <w:t>lisan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bir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insan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lisan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insan</w:t>
      </w:r>
      <w:proofErr w:type="spellEnd"/>
      <w:r>
        <w:rPr>
          <w:rFonts w:ascii="Times New Roman" w:eastAsia="Times New Roman" w:hAnsi="Times New Roman" w:cs="Times New Roman"/>
          <w:sz w:val="24"/>
          <w:szCs w:val="24"/>
        </w:rPr>
        <w:t xml:space="preserve">?’’ Observations and reflections of an undergraduate student </w:t>
      </w:r>
      <w:proofErr w:type="gramStart"/>
      <w:r>
        <w:rPr>
          <w:rFonts w:ascii="Times New Roman" w:eastAsia="Times New Roman" w:hAnsi="Times New Roman" w:cs="Times New Roman"/>
          <w:sz w:val="24"/>
          <w:szCs w:val="24"/>
        </w:rPr>
        <w:t>on the situation of</w:t>
      </w:r>
      <w:proofErr w:type="gramEnd"/>
      <w:r>
        <w:rPr>
          <w:rFonts w:ascii="Times New Roman" w:eastAsia="Times New Roman" w:hAnsi="Times New Roman" w:cs="Times New Roman"/>
          <w:sz w:val="24"/>
          <w:szCs w:val="24"/>
        </w:rPr>
        <w:t xml:space="preserve"> ELT in Turkey. </w:t>
      </w:r>
      <w:r>
        <w:rPr>
          <w:rFonts w:ascii="Times New Roman" w:eastAsia="Times New Roman" w:hAnsi="Times New Roman" w:cs="Times New Roman"/>
          <w:i/>
          <w:sz w:val="24"/>
          <w:szCs w:val="24"/>
        </w:rPr>
        <w:t>Humanising Language Teaching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(4). https://www.hltmag.co.uk/aug23/bir-lisan-bir-insan-iki-lisan-iki-insan</w:t>
      </w:r>
    </w:p>
    <w:p w14:paraId="506A4744" w14:textId="77777777" w:rsidR="006F502E" w:rsidRDefault="006F502E">
      <w:pPr>
        <w:spacing w:after="0" w:line="240" w:lineRule="auto"/>
        <w:jc w:val="both"/>
        <w:rPr>
          <w:rFonts w:ascii="Times New Roman" w:eastAsia="Times New Roman" w:hAnsi="Times New Roman" w:cs="Times New Roman"/>
          <w:sz w:val="24"/>
          <w:szCs w:val="24"/>
        </w:rPr>
      </w:pPr>
    </w:p>
    <w:p w14:paraId="183CD804"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Damen, L. (1987). </w:t>
      </w:r>
      <w:r>
        <w:rPr>
          <w:rFonts w:ascii="Times New Roman" w:eastAsia="Times New Roman" w:hAnsi="Times New Roman" w:cs="Times New Roman"/>
          <w:i/>
          <w:sz w:val="24"/>
          <w:szCs w:val="24"/>
        </w:rPr>
        <w:t>Culture learning: The fifth dimension in the language classroom</w:t>
      </w:r>
      <w:r>
        <w:rPr>
          <w:rFonts w:ascii="Times New Roman" w:eastAsia="Times New Roman" w:hAnsi="Times New Roman" w:cs="Times New Roman"/>
          <w:sz w:val="24"/>
          <w:szCs w:val="24"/>
        </w:rPr>
        <w:t> (Vol. 11478). Addison Wesley Publishing Company.</w:t>
      </w:r>
    </w:p>
    <w:p w14:paraId="7137E2E6" w14:textId="77777777" w:rsidR="006F502E" w:rsidRDefault="006F502E">
      <w:pPr>
        <w:spacing w:after="0" w:line="240" w:lineRule="auto"/>
        <w:jc w:val="both"/>
        <w:rPr>
          <w:rFonts w:ascii="Times New Roman" w:eastAsia="Times New Roman" w:hAnsi="Times New Roman" w:cs="Times New Roman"/>
          <w:sz w:val="24"/>
          <w:szCs w:val="24"/>
        </w:rPr>
      </w:pPr>
    </w:p>
    <w:p w14:paraId="08087C68"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Dede, M., &amp; Emre, M. (1988). </w:t>
      </w:r>
      <w:r>
        <w:rPr>
          <w:rFonts w:ascii="Times New Roman" w:eastAsia="Times New Roman" w:hAnsi="Times New Roman" w:cs="Times New Roman"/>
          <w:i/>
          <w:sz w:val="24"/>
          <w:szCs w:val="24"/>
        </w:rPr>
        <w:t>Spotlight on English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Hitit</w:t>
      </w:r>
      <w:proofErr w:type="spellEnd"/>
    </w:p>
    <w:p w14:paraId="48995628" w14:textId="77777777" w:rsidR="006F502E" w:rsidRDefault="006F502E">
      <w:pPr>
        <w:spacing w:after="0" w:line="240" w:lineRule="auto"/>
        <w:jc w:val="both"/>
        <w:rPr>
          <w:rFonts w:ascii="Times New Roman" w:eastAsia="Times New Roman" w:hAnsi="Times New Roman" w:cs="Times New Roman"/>
          <w:sz w:val="24"/>
          <w:szCs w:val="24"/>
        </w:rPr>
      </w:pPr>
    </w:p>
    <w:p w14:paraId="3D8B1519"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Doğancay-Aktuna</w:t>
      </w:r>
      <w:proofErr w:type="spellEnd"/>
      <w:r>
        <w:rPr>
          <w:rFonts w:ascii="Times New Roman" w:eastAsia="Times New Roman" w:hAnsi="Times New Roman" w:cs="Times New Roman"/>
          <w:sz w:val="24"/>
          <w:szCs w:val="24"/>
        </w:rPr>
        <w:t xml:space="preserve">, S., &amp; </w:t>
      </w:r>
      <w:proofErr w:type="spellStart"/>
      <w:r>
        <w:rPr>
          <w:rFonts w:ascii="Times New Roman" w:eastAsia="Times New Roman" w:hAnsi="Times New Roman" w:cs="Times New Roman"/>
          <w:sz w:val="24"/>
          <w:szCs w:val="24"/>
        </w:rPr>
        <w:t>Kızıltepe</w:t>
      </w:r>
      <w:proofErr w:type="spellEnd"/>
      <w:r>
        <w:rPr>
          <w:rFonts w:ascii="Times New Roman" w:eastAsia="Times New Roman" w:hAnsi="Times New Roman" w:cs="Times New Roman"/>
          <w:sz w:val="24"/>
          <w:szCs w:val="24"/>
        </w:rPr>
        <w:t xml:space="preserve">. Z. (2005). English in Turkey. </w:t>
      </w:r>
      <w:r>
        <w:rPr>
          <w:rFonts w:ascii="Times New Roman" w:eastAsia="Times New Roman" w:hAnsi="Times New Roman" w:cs="Times New Roman"/>
          <w:i/>
          <w:sz w:val="24"/>
          <w:szCs w:val="24"/>
        </w:rPr>
        <w:t xml:space="preserve">World </w:t>
      </w:r>
      <w:proofErr w:type="spellStart"/>
      <w:r>
        <w:rPr>
          <w:rFonts w:ascii="Times New Roman" w:eastAsia="Times New Roman" w:hAnsi="Times New Roman" w:cs="Times New Roman"/>
          <w:i/>
          <w:sz w:val="24"/>
          <w:szCs w:val="24"/>
        </w:rPr>
        <w:t>Englishes</w:t>
      </w:r>
      <w:proofErr w:type="spellEnd"/>
      <w:r>
        <w:rPr>
          <w:rFonts w:ascii="Times New Roman" w:eastAsia="Times New Roman" w:hAnsi="Times New Roman" w:cs="Times New Roman"/>
          <w:i/>
          <w:sz w:val="24"/>
          <w:szCs w:val="24"/>
        </w:rPr>
        <w:t>, 24</w:t>
      </w:r>
      <w:r>
        <w:rPr>
          <w:rFonts w:ascii="Times New Roman" w:eastAsia="Times New Roman" w:hAnsi="Times New Roman" w:cs="Times New Roman"/>
          <w:sz w:val="24"/>
          <w:szCs w:val="24"/>
        </w:rPr>
        <w:t>(2), 253-265. https://doi.org/10.1111/j.1467-971X.2005.00408.x</w:t>
      </w:r>
    </w:p>
    <w:p w14:paraId="1BB52E62" w14:textId="77777777" w:rsidR="006F502E" w:rsidRDefault="006F502E">
      <w:pPr>
        <w:spacing w:after="0" w:line="240" w:lineRule="auto"/>
        <w:jc w:val="both"/>
        <w:rPr>
          <w:rFonts w:ascii="Times New Roman" w:eastAsia="Times New Roman" w:hAnsi="Times New Roman" w:cs="Times New Roman"/>
          <w:sz w:val="24"/>
          <w:szCs w:val="24"/>
        </w:rPr>
      </w:pPr>
    </w:p>
    <w:p w14:paraId="10C13853"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Dooly</w:t>
      </w:r>
      <w:proofErr w:type="spellEnd"/>
      <w:r>
        <w:rPr>
          <w:rFonts w:ascii="Times New Roman" w:eastAsia="Times New Roman" w:hAnsi="Times New Roman" w:cs="Times New Roman"/>
          <w:sz w:val="24"/>
          <w:szCs w:val="24"/>
        </w:rPr>
        <w:t>, M., &amp; Villanueva, M. (2006). Internationalisation as a key dimension to teacher education. </w:t>
      </w:r>
      <w:r>
        <w:rPr>
          <w:rFonts w:ascii="Times New Roman" w:eastAsia="Times New Roman" w:hAnsi="Times New Roman" w:cs="Times New Roman"/>
          <w:i/>
          <w:sz w:val="24"/>
          <w:szCs w:val="24"/>
        </w:rPr>
        <w:t>European Journal of Teacher Education</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(2), 223-240. https://doi.org/10.1080/02619760600617409</w:t>
      </w:r>
    </w:p>
    <w:p w14:paraId="5F9A9002" w14:textId="77777777" w:rsidR="006F502E" w:rsidRDefault="006F502E">
      <w:pPr>
        <w:spacing w:after="0" w:line="240" w:lineRule="auto"/>
        <w:jc w:val="both"/>
        <w:rPr>
          <w:rFonts w:ascii="Times New Roman" w:eastAsia="Times New Roman" w:hAnsi="Times New Roman" w:cs="Times New Roman"/>
          <w:sz w:val="24"/>
          <w:szCs w:val="24"/>
        </w:rPr>
      </w:pPr>
    </w:p>
    <w:p w14:paraId="47937DFC"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Gashi, L. (2021). Intercultural awareness through English language teaching: the case of Kosovo. </w:t>
      </w:r>
      <w:r>
        <w:rPr>
          <w:rFonts w:ascii="Times New Roman" w:eastAsia="Times New Roman" w:hAnsi="Times New Roman" w:cs="Times New Roman"/>
          <w:i/>
          <w:sz w:val="24"/>
          <w:szCs w:val="24"/>
        </w:rPr>
        <w:t>Interchange, 52</w:t>
      </w:r>
      <w:r>
        <w:rPr>
          <w:rFonts w:ascii="Times New Roman" w:eastAsia="Times New Roman" w:hAnsi="Times New Roman" w:cs="Times New Roman"/>
          <w:sz w:val="24"/>
          <w:szCs w:val="24"/>
        </w:rPr>
        <w:t xml:space="preserve">(3), 357-375. </w:t>
      </w:r>
      <w:hyperlink r:id="rId7">
        <w:r>
          <w:rPr>
            <w:rFonts w:ascii="Times New Roman" w:eastAsia="Times New Roman" w:hAnsi="Times New Roman" w:cs="Times New Roman"/>
            <w:color w:val="000000"/>
            <w:sz w:val="24"/>
            <w:szCs w:val="24"/>
          </w:rPr>
          <w:t>https://doi.org/10.1007/s10780-021-09441-5</w:t>
        </w:r>
      </w:hyperlink>
    </w:p>
    <w:p w14:paraId="0054FD8C" w14:textId="77777777" w:rsidR="006F502E" w:rsidRDefault="006F502E">
      <w:pPr>
        <w:spacing w:after="0" w:line="240" w:lineRule="auto"/>
        <w:jc w:val="both"/>
        <w:rPr>
          <w:rFonts w:ascii="Times New Roman" w:eastAsia="Times New Roman" w:hAnsi="Times New Roman" w:cs="Times New Roman"/>
          <w:sz w:val="24"/>
          <w:szCs w:val="24"/>
        </w:rPr>
      </w:pPr>
    </w:p>
    <w:p w14:paraId="578FA4E5"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Hamiloğlu</w:t>
      </w:r>
      <w:proofErr w:type="spellEnd"/>
      <w:r>
        <w:rPr>
          <w:rFonts w:ascii="Times New Roman" w:eastAsia="Times New Roman" w:hAnsi="Times New Roman" w:cs="Times New Roman"/>
          <w:sz w:val="24"/>
          <w:szCs w:val="24"/>
        </w:rPr>
        <w:t>, K., &amp; Mendi, B. (2010). A content analysis related to the cross-cultural/intercultural elements used in EFL coursebooks. </w:t>
      </w:r>
      <w:r>
        <w:rPr>
          <w:rFonts w:ascii="Times New Roman" w:eastAsia="Times New Roman" w:hAnsi="Times New Roman" w:cs="Times New Roman"/>
          <w:i/>
          <w:sz w:val="24"/>
          <w:szCs w:val="24"/>
        </w:rPr>
        <w:t>Sino-US English Teaching</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 16-24. https://doi.org/ 10.17265/1539-8072/2010.01.003</w:t>
      </w:r>
    </w:p>
    <w:p w14:paraId="3CB5D882" w14:textId="77777777" w:rsidR="006F502E" w:rsidRDefault="006F502E">
      <w:pPr>
        <w:spacing w:after="0" w:line="240" w:lineRule="auto"/>
        <w:jc w:val="both"/>
        <w:rPr>
          <w:rFonts w:ascii="Times New Roman" w:eastAsia="Times New Roman" w:hAnsi="Times New Roman" w:cs="Times New Roman"/>
          <w:sz w:val="24"/>
          <w:szCs w:val="24"/>
        </w:rPr>
      </w:pPr>
    </w:p>
    <w:p w14:paraId="273FC9FF"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Hasan, A. S., &amp; Raddatz, V. (2009). Analysis of EFL elementary textbooks in Syria and Germany: cognitive, affective and procedural aspects in their inter-cultural context. </w:t>
      </w:r>
      <w:r>
        <w:rPr>
          <w:rFonts w:ascii="Times New Roman" w:eastAsia="Times New Roman" w:hAnsi="Times New Roman" w:cs="Times New Roman"/>
          <w:i/>
          <w:sz w:val="24"/>
          <w:szCs w:val="24"/>
        </w:rPr>
        <w:t>Journal of Intercultural Communication</w:t>
      </w:r>
      <w:r>
        <w:rPr>
          <w:rFonts w:ascii="Times New Roman" w:eastAsia="Times New Roman" w:hAnsi="Times New Roman" w:cs="Times New Roman"/>
          <w:sz w:val="24"/>
          <w:szCs w:val="24"/>
        </w:rPr>
        <w:t>, (17). https://doi.org/10.36923/jicc.v8i2.458</w:t>
      </w:r>
    </w:p>
    <w:p w14:paraId="5534FC26" w14:textId="77777777" w:rsidR="006F502E" w:rsidRDefault="006F502E">
      <w:pPr>
        <w:spacing w:after="0" w:line="240" w:lineRule="auto"/>
        <w:jc w:val="both"/>
        <w:rPr>
          <w:rFonts w:ascii="Times New Roman" w:eastAsia="Times New Roman" w:hAnsi="Times New Roman" w:cs="Times New Roman"/>
          <w:sz w:val="24"/>
          <w:szCs w:val="24"/>
        </w:rPr>
      </w:pPr>
    </w:p>
    <w:p w14:paraId="6CBA26B4"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Holsti</w:t>
      </w:r>
      <w:proofErr w:type="spellEnd"/>
      <w:r>
        <w:rPr>
          <w:rFonts w:ascii="Times New Roman" w:eastAsia="Times New Roman" w:hAnsi="Times New Roman" w:cs="Times New Roman"/>
          <w:sz w:val="24"/>
          <w:szCs w:val="24"/>
        </w:rPr>
        <w:t xml:space="preserve">, O.R. (1969). </w:t>
      </w:r>
      <w:r>
        <w:rPr>
          <w:rFonts w:ascii="Times New Roman" w:eastAsia="Times New Roman" w:hAnsi="Times New Roman" w:cs="Times New Roman"/>
          <w:i/>
          <w:sz w:val="24"/>
          <w:szCs w:val="24"/>
        </w:rPr>
        <w:t>Content analysis for the social sciences and humanities</w:t>
      </w:r>
      <w:r>
        <w:rPr>
          <w:rFonts w:ascii="Times New Roman" w:eastAsia="Times New Roman" w:hAnsi="Times New Roman" w:cs="Times New Roman"/>
          <w:sz w:val="24"/>
          <w:szCs w:val="24"/>
        </w:rPr>
        <w:t>. Addison-Wesley.</w:t>
      </w:r>
    </w:p>
    <w:p w14:paraId="3C6BAC9F" w14:textId="77777777" w:rsidR="006F502E" w:rsidRDefault="006F502E">
      <w:pPr>
        <w:spacing w:after="0" w:line="240" w:lineRule="auto"/>
        <w:jc w:val="both"/>
        <w:rPr>
          <w:rFonts w:ascii="Times New Roman" w:eastAsia="Times New Roman" w:hAnsi="Times New Roman" w:cs="Times New Roman"/>
          <w:sz w:val="24"/>
          <w:szCs w:val="24"/>
        </w:rPr>
      </w:pPr>
    </w:p>
    <w:p w14:paraId="09CA1287"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L. W. (2003). </w:t>
      </w:r>
      <w:r>
        <w:rPr>
          <w:rFonts w:ascii="Times New Roman" w:eastAsia="Times New Roman" w:hAnsi="Times New Roman" w:cs="Times New Roman"/>
          <w:i/>
          <w:sz w:val="24"/>
          <w:szCs w:val="24"/>
        </w:rPr>
        <w:t>Vocational high school teachers’ perceptions and use of the English textbooks in southern Taiwan.</w:t>
      </w:r>
      <w:r>
        <w:rPr>
          <w:rFonts w:ascii="Times New Roman" w:eastAsia="Times New Roman" w:hAnsi="Times New Roman" w:cs="Times New Roman"/>
          <w:sz w:val="24"/>
          <w:szCs w:val="24"/>
        </w:rPr>
        <w:t xml:space="preserve"> Unpublished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Kaohsiung, Taiwan, National Kaohsiung Normal University.</w:t>
      </w:r>
    </w:p>
    <w:p w14:paraId="28357274" w14:textId="77777777" w:rsidR="006F502E" w:rsidRDefault="006F502E">
      <w:pPr>
        <w:spacing w:after="0" w:line="240" w:lineRule="auto"/>
        <w:jc w:val="both"/>
        <w:rPr>
          <w:rFonts w:ascii="Times New Roman" w:eastAsia="Times New Roman" w:hAnsi="Times New Roman" w:cs="Times New Roman"/>
          <w:sz w:val="24"/>
          <w:szCs w:val="24"/>
        </w:rPr>
      </w:pPr>
    </w:p>
    <w:p w14:paraId="25748277"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P. (2019). Textbook interaction: A study of the language and cultural contextualisation of English learning textbooks. </w:t>
      </w:r>
      <w:r>
        <w:rPr>
          <w:rFonts w:ascii="Times New Roman" w:eastAsia="Times New Roman" w:hAnsi="Times New Roman" w:cs="Times New Roman"/>
          <w:i/>
          <w:sz w:val="24"/>
          <w:szCs w:val="24"/>
        </w:rPr>
        <w:t>Learning, Culture and Social Interaction, 21,</w:t>
      </w:r>
      <w:r>
        <w:rPr>
          <w:rFonts w:ascii="Times New Roman" w:eastAsia="Times New Roman" w:hAnsi="Times New Roman" w:cs="Times New Roman"/>
          <w:sz w:val="24"/>
          <w:szCs w:val="24"/>
        </w:rPr>
        <w:t xml:space="preserve"> 87-99. https://doi.org/10.1016/j.lcsi.2019.02.006</w:t>
      </w:r>
    </w:p>
    <w:p w14:paraId="01BDDD29" w14:textId="77777777" w:rsidR="006F502E" w:rsidRDefault="006F502E">
      <w:pPr>
        <w:spacing w:after="0" w:line="240" w:lineRule="auto"/>
        <w:jc w:val="both"/>
        <w:rPr>
          <w:rFonts w:ascii="Times New Roman" w:eastAsia="Times New Roman" w:hAnsi="Times New Roman" w:cs="Times New Roman"/>
          <w:sz w:val="24"/>
          <w:szCs w:val="24"/>
        </w:rPr>
      </w:pPr>
    </w:p>
    <w:p w14:paraId="6BDA1DC5" w14:textId="77777777" w:rsidR="006F502E" w:rsidRDefault="00000000">
      <w:pPr>
        <w:spacing w:after="0" w:line="240" w:lineRule="auto"/>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 xml:space="preserve">Hussein, H. F. A. (2022). The cultural representations in the Unlock English series and EFL teachers’ and EFL learners’ perspectives towards them. </w:t>
      </w:r>
      <w:r>
        <w:rPr>
          <w:rFonts w:ascii="Times New Roman" w:eastAsia="Times New Roman" w:hAnsi="Times New Roman" w:cs="Times New Roman"/>
          <w:i/>
          <w:sz w:val="24"/>
          <w:szCs w:val="24"/>
        </w:rPr>
        <w:t>European Journal of Education and Pedagogy, 3</w:t>
      </w:r>
      <w:r>
        <w:rPr>
          <w:rFonts w:ascii="Times New Roman" w:eastAsia="Times New Roman" w:hAnsi="Times New Roman" w:cs="Times New Roman"/>
          <w:sz w:val="24"/>
          <w:szCs w:val="24"/>
        </w:rPr>
        <w:t xml:space="preserve">(2), 43-52. </w:t>
      </w:r>
      <w:hyperlink r:id="rId8">
        <w:r>
          <w:rPr>
            <w:rFonts w:ascii="Times New Roman" w:eastAsia="Times New Roman" w:hAnsi="Times New Roman" w:cs="Times New Roman"/>
            <w:color w:val="000000"/>
            <w:sz w:val="24"/>
            <w:szCs w:val="24"/>
          </w:rPr>
          <w:t>https://doi.org/</w:t>
        </w:r>
      </w:hyperlink>
      <w:r>
        <w:rPr>
          <w:rFonts w:ascii="Times New Roman" w:eastAsia="Times New Roman" w:hAnsi="Times New Roman" w:cs="Times New Roman"/>
          <w:sz w:val="24"/>
          <w:szCs w:val="24"/>
        </w:rPr>
        <w:t>10.24018/ejedu.2022.3.2.268</w:t>
      </w:r>
    </w:p>
    <w:p w14:paraId="29B51165"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Kırkgöz</w:t>
      </w:r>
      <w:proofErr w:type="spellEnd"/>
      <w:r>
        <w:rPr>
          <w:rFonts w:ascii="Times New Roman" w:eastAsia="Times New Roman" w:hAnsi="Times New Roman" w:cs="Times New Roman"/>
          <w:sz w:val="24"/>
          <w:szCs w:val="24"/>
        </w:rPr>
        <w:t xml:space="preserve">, Y., &amp; </w:t>
      </w:r>
      <w:proofErr w:type="spellStart"/>
      <w:r>
        <w:rPr>
          <w:rFonts w:ascii="Times New Roman" w:eastAsia="Times New Roman" w:hAnsi="Times New Roman" w:cs="Times New Roman"/>
          <w:sz w:val="24"/>
          <w:szCs w:val="24"/>
        </w:rPr>
        <w:t>Agcam</w:t>
      </w:r>
      <w:proofErr w:type="spellEnd"/>
      <w:r>
        <w:rPr>
          <w:rFonts w:ascii="Times New Roman" w:eastAsia="Times New Roman" w:hAnsi="Times New Roman" w:cs="Times New Roman"/>
          <w:sz w:val="24"/>
          <w:szCs w:val="24"/>
        </w:rPr>
        <w:t xml:space="preserve">, R. (2011). Exploring culture in locally published English textbooks for primary education in Turkey. </w:t>
      </w:r>
      <w:r>
        <w:rPr>
          <w:rFonts w:ascii="Times New Roman" w:eastAsia="Times New Roman" w:hAnsi="Times New Roman" w:cs="Times New Roman"/>
          <w:i/>
          <w:sz w:val="24"/>
          <w:szCs w:val="24"/>
        </w:rPr>
        <w:t>CEPS journal, 1</w:t>
      </w:r>
      <w:r>
        <w:rPr>
          <w:rFonts w:ascii="Times New Roman" w:eastAsia="Times New Roman" w:hAnsi="Times New Roman" w:cs="Times New Roman"/>
          <w:sz w:val="24"/>
          <w:szCs w:val="24"/>
        </w:rPr>
        <w:t>(1), 153-167. https://doi.org/10.26529/cepsj.1.1</w:t>
      </w:r>
    </w:p>
    <w:p w14:paraId="22691FCB" w14:textId="77777777" w:rsidR="006F502E" w:rsidRDefault="006F502E">
      <w:pPr>
        <w:spacing w:after="0" w:line="240" w:lineRule="auto"/>
        <w:jc w:val="both"/>
        <w:rPr>
          <w:rFonts w:ascii="Times New Roman" w:eastAsia="Times New Roman" w:hAnsi="Times New Roman" w:cs="Times New Roman"/>
          <w:sz w:val="24"/>
          <w:szCs w:val="24"/>
        </w:rPr>
      </w:pPr>
    </w:p>
    <w:p w14:paraId="35F568E4"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Kohl, M. (2016). Teaching Abraham Lincoln in the EFL Classroom: A German case study. </w:t>
      </w:r>
      <w:r>
        <w:rPr>
          <w:rFonts w:ascii="Times New Roman" w:eastAsia="Times New Roman" w:hAnsi="Times New Roman" w:cs="Times New Roman"/>
          <w:i/>
          <w:sz w:val="24"/>
          <w:szCs w:val="24"/>
        </w:rPr>
        <w:t>American Studies Journal</w:t>
      </w:r>
      <w:r>
        <w:rPr>
          <w:rFonts w:ascii="Times New Roman" w:eastAsia="Times New Roman" w:hAnsi="Times New Roman" w:cs="Times New Roman"/>
          <w:sz w:val="24"/>
          <w:szCs w:val="24"/>
        </w:rPr>
        <w:t>, (60). https://doi.org/ 10.18422/60-14</w:t>
      </w:r>
    </w:p>
    <w:p w14:paraId="22C5CADF" w14:textId="77777777" w:rsidR="006F502E" w:rsidRDefault="006F502E">
      <w:pPr>
        <w:spacing w:after="0" w:line="240" w:lineRule="auto"/>
        <w:jc w:val="both"/>
        <w:rPr>
          <w:rFonts w:ascii="Times New Roman" w:eastAsia="Times New Roman" w:hAnsi="Times New Roman" w:cs="Times New Roman"/>
          <w:sz w:val="24"/>
          <w:szCs w:val="24"/>
        </w:rPr>
      </w:pPr>
    </w:p>
    <w:p w14:paraId="190490E6"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Kramsch</w:t>
      </w:r>
      <w:proofErr w:type="spellEnd"/>
      <w:r>
        <w:rPr>
          <w:rFonts w:ascii="Times New Roman" w:eastAsia="Times New Roman" w:hAnsi="Times New Roman" w:cs="Times New Roman"/>
          <w:sz w:val="24"/>
          <w:szCs w:val="24"/>
        </w:rPr>
        <w:t>, C. (1995). The cultural component of language teaching. </w:t>
      </w:r>
      <w:r>
        <w:rPr>
          <w:rFonts w:ascii="Times New Roman" w:eastAsia="Times New Roman" w:hAnsi="Times New Roman" w:cs="Times New Roman"/>
          <w:i/>
          <w:sz w:val="24"/>
          <w:szCs w:val="24"/>
        </w:rPr>
        <w:t>Language, culture and curriculum</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(2), 83-92. https://doi.org/10.1080/07908319509525192</w:t>
      </w:r>
    </w:p>
    <w:p w14:paraId="5F3790C2" w14:textId="77777777" w:rsidR="006F502E" w:rsidRDefault="006F502E">
      <w:pPr>
        <w:spacing w:after="0" w:line="240" w:lineRule="auto"/>
        <w:jc w:val="both"/>
        <w:rPr>
          <w:rFonts w:ascii="Times New Roman" w:eastAsia="Times New Roman" w:hAnsi="Times New Roman" w:cs="Times New Roman"/>
          <w:sz w:val="24"/>
          <w:szCs w:val="24"/>
        </w:rPr>
      </w:pPr>
    </w:p>
    <w:p w14:paraId="71B94E12"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Kumaravadivelu</w:t>
      </w:r>
      <w:proofErr w:type="spellEnd"/>
      <w:r>
        <w:rPr>
          <w:rFonts w:ascii="Times New Roman" w:eastAsia="Times New Roman" w:hAnsi="Times New Roman" w:cs="Times New Roman"/>
          <w:sz w:val="24"/>
          <w:szCs w:val="24"/>
        </w:rPr>
        <w:t>, B. (2008). </w:t>
      </w:r>
      <w:r>
        <w:rPr>
          <w:rFonts w:ascii="Times New Roman" w:eastAsia="Times New Roman" w:hAnsi="Times New Roman" w:cs="Times New Roman"/>
          <w:i/>
          <w:sz w:val="24"/>
          <w:szCs w:val="24"/>
        </w:rPr>
        <w:t>Cultural globalization and language education</w:t>
      </w:r>
      <w:r>
        <w:rPr>
          <w:rFonts w:ascii="Times New Roman" w:eastAsia="Times New Roman" w:hAnsi="Times New Roman" w:cs="Times New Roman"/>
          <w:sz w:val="24"/>
          <w:szCs w:val="24"/>
        </w:rPr>
        <w:t>. Yale University Press.</w:t>
      </w:r>
    </w:p>
    <w:p w14:paraId="6CF50272" w14:textId="77777777" w:rsidR="006F502E" w:rsidRDefault="006F502E">
      <w:pPr>
        <w:spacing w:after="0" w:line="240" w:lineRule="auto"/>
        <w:jc w:val="both"/>
        <w:rPr>
          <w:rFonts w:ascii="Times New Roman" w:eastAsia="Times New Roman" w:hAnsi="Times New Roman" w:cs="Times New Roman"/>
          <w:sz w:val="24"/>
          <w:szCs w:val="24"/>
        </w:rPr>
      </w:pPr>
    </w:p>
    <w:p w14:paraId="0E6BBDA3"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McGrath, I. (2002). </w:t>
      </w:r>
      <w:r>
        <w:rPr>
          <w:rFonts w:ascii="Times New Roman" w:eastAsia="Times New Roman" w:hAnsi="Times New Roman" w:cs="Times New Roman"/>
          <w:i/>
          <w:sz w:val="24"/>
          <w:szCs w:val="24"/>
        </w:rPr>
        <w:t xml:space="preserve">Materials evaluation and design for language teaching. </w:t>
      </w:r>
      <w:r>
        <w:rPr>
          <w:rFonts w:ascii="Times New Roman" w:eastAsia="Times New Roman" w:hAnsi="Times New Roman" w:cs="Times New Roman"/>
          <w:sz w:val="24"/>
          <w:szCs w:val="24"/>
        </w:rPr>
        <w:t>Edinburgh</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University Press.</w:t>
      </w:r>
    </w:p>
    <w:p w14:paraId="5656D12F" w14:textId="77777777" w:rsidR="006F502E" w:rsidRDefault="006F502E">
      <w:pPr>
        <w:spacing w:after="0" w:line="240" w:lineRule="auto"/>
        <w:jc w:val="both"/>
        <w:rPr>
          <w:rFonts w:ascii="Times New Roman" w:eastAsia="Times New Roman" w:hAnsi="Times New Roman" w:cs="Times New Roman"/>
          <w:sz w:val="24"/>
          <w:szCs w:val="24"/>
        </w:rPr>
      </w:pPr>
    </w:p>
    <w:p w14:paraId="5BA3D00A"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McKay, S. L. (2000). Teaching English as an international language: Implications for cultural materials in the classroom. </w:t>
      </w:r>
      <w:r>
        <w:rPr>
          <w:rFonts w:ascii="Times New Roman" w:eastAsia="Times New Roman" w:hAnsi="Times New Roman" w:cs="Times New Roman"/>
          <w:i/>
          <w:sz w:val="24"/>
          <w:szCs w:val="24"/>
        </w:rPr>
        <w:t>TESOL journal</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(4), 7-11. https://doi.org/10.1002/j.1949-3533.2000.tb00276.x</w:t>
      </w:r>
    </w:p>
    <w:p w14:paraId="3670F2EA" w14:textId="77777777" w:rsidR="006F502E" w:rsidRDefault="006F502E">
      <w:pPr>
        <w:spacing w:after="0" w:line="240" w:lineRule="auto"/>
        <w:jc w:val="both"/>
        <w:rPr>
          <w:rFonts w:ascii="Times New Roman" w:eastAsia="Times New Roman" w:hAnsi="Times New Roman" w:cs="Times New Roman"/>
          <w:sz w:val="24"/>
          <w:szCs w:val="24"/>
        </w:rPr>
      </w:pPr>
    </w:p>
    <w:p w14:paraId="2623C856"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Neuman, W. (1997). </w:t>
      </w:r>
      <w:r>
        <w:rPr>
          <w:rFonts w:ascii="Times New Roman" w:eastAsia="Times New Roman" w:hAnsi="Times New Roman" w:cs="Times New Roman"/>
          <w:i/>
          <w:sz w:val="24"/>
          <w:szCs w:val="24"/>
        </w:rPr>
        <w:t>Social research methods: qualitative and quantitative approaches</w:t>
      </w:r>
      <w:r>
        <w:rPr>
          <w:rFonts w:ascii="Times New Roman" w:eastAsia="Times New Roman" w:hAnsi="Times New Roman" w:cs="Times New Roman"/>
          <w:sz w:val="24"/>
          <w:szCs w:val="24"/>
        </w:rPr>
        <w:t>. Allyn &amp; Bacon.</w:t>
      </w:r>
    </w:p>
    <w:p w14:paraId="45C9501A" w14:textId="77777777" w:rsidR="006F502E" w:rsidRDefault="006F502E">
      <w:pPr>
        <w:spacing w:after="0" w:line="240" w:lineRule="auto"/>
        <w:jc w:val="both"/>
        <w:rPr>
          <w:rFonts w:ascii="Times New Roman" w:eastAsia="Times New Roman" w:hAnsi="Times New Roman" w:cs="Times New Roman"/>
          <w:sz w:val="24"/>
          <w:szCs w:val="24"/>
        </w:rPr>
      </w:pPr>
    </w:p>
    <w:p w14:paraId="5712CC83"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O'Neill, R. (1982). Why use textbooks? </w:t>
      </w:r>
      <w:r>
        <w:rPr>
          <w:rFonts w:ascii="Times New Roman" w:eastAsia="Times New Roman" w:hAnsi="Times New Roman" w:cs="Times New Roman"/>
          <w:i/>
          <w:sz w:val="24"/>
          <w:szCs w:val="24"/>
        </w:rPr>
        <w:t>ELT Journal</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36</w:t>
      </w:r>
      <w:r>
        <w:rPr>
          <w:rFonts w:ascii="Times New Roman" w:eastAsia="Times New Roman" w:hAnsi="Times New Roman" w:cs="Times New Roman"/>
          <w:sz w:val="24"/>
          <w:szCs w:val="24"/>
        </w:rPr>
        <w:t>(2), 104-111. https://doi.org/10.1093/elt/36.2.104</w:t>
      </w:r>
    </w:p>
    <w:p w14:paraId="073C99FB" w14:textId="77777777" w:rsidR="006F502E" w:rsidRDefault="006F502E">
      <w:pPr>
        <w:spacing w:after="0" w:line="240" w:lineRule="auto"/>
        <w:jc w:val="both"/>
        <w:rPr>
          <w:rFonts w:ascii="Times New Roman" w:eastAsia="Times New Roman" w:hAnsi="Times New Roman" w:cs="Times New Roman"/>
          <w:sz w:val="24"/>
          <w:szCs w:val="24"/>
        </w:rPr>
      </w:pPr>
    </w:p>
    <w:p w14:paraId="3AEBE43D"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Paige, R.M., Jorstad, H.L., Siaya, L., Klein, F., &amp; Colby, J. (2003). Culture learning in language education: A review of the literature. In D. L. Lange &amp; R. M. Paige (Eds.), </w:t>
      </w:r>
      <w:r>
        <w:rPr>
          <w:rFonts w:ascii="Times New Roman" w:eastAsia="Times New Roman" w:hAnsi="Times New Roman" w:cs="Times New Roman"/>
          <w:i/>
          <w:sz w:val="24"/>
          <w:szCs w:val="24"/>
        </w:rPr>
        <w:t>Culture as the core: Perspectives on culture in second language learning</w:t>
      </w:r>
      <w:r>
        <w:rPr>
          <w:rFonts w:ascii="Times New Roman" w:eastAsia="Times New Roman" w:hAnsi="Times New Roman" w:cs="Times New Roman"/>
          <w:sz w:val="24"/>
          <w:szCs w:val="24"/>
        </w:rPr>
        <w:t xml:space="preserve"> (pp. 173–236). Information Age Publishing.</w:t>
      </w:r>
    </w:p>
    <w:p w14:paraId="069FB887" w14:textId="77777777" w:rsidR="006F502E" w:rsidRDefault="006F502E">
      <w:pPr>
        <w:spacing w:after="0" w:line="240" w:lineRule="auto"/>
        <w:jc w:val="both"/>
        <w:rPr>
          <w:rFonts w:ascii="Times New Roman" w:eastAsia="Times New Roman" w:hAnsi="Times New Roman" w:cs="Times New Roman"/>
          <w:sz w:val="24"/>
          <w:szCs w:val="24"/>
        </w:rPr>
      </w:pPr>
    </w:p>
    <w:p w14:paraId="3876C7A5" w14:textId="77777777" w:rsidR="006F502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Phillipson, R. (1992). Linguistic imperialism. </w:t>
      </w:r>
      <w:r>
        <w:rPr>
          <w:rFonts w:ascii="Times New Roman" w:eastAsia="Times New Roman" w:hAnsi="Times New Roman" w:cs="Times New Roman"/>
          <w:i/>
          <w:sz w:val="24"/>
          <w:szCs w:val="24"/>
        </w:rPr>
        <w:t xml:space="preserve">The </w:t>
      </w:r>
      <w:proofErr w:type="spellStart"/>
      <w:r>
        <w:rPr>
          <w:rFonts w:ascii="Times New Roman" w:eastAsia="Times New Roman" w:hAnsi="Times New Roman" w:cs="Times New Roman"/>
          <w:i/>
          <w:sz w:val="24"/>
          <w:szCs w:val="24"/>
        </w:rPr>
        <w:t>Encyclopedia</w:t>
      </w:r>
      <w:proofErr w:type="spellEnd"/>
      <w:r>
        <w:rPr>
          <w:rFonts w:ascii="Times New Roman" w:eastAsia="Times New Roman" w:hAnsi="Times New Roman" w:cs="Times New Roman"/>
          <w:i/>
          <w:sz w:val="24"/>
          <w:szCs w:val="24"/>
        </w:rPr>
        <w:t xml:space="preserve"> of Applied Linguistics</w:t>
      </w:r>
      <w:r>
        <w:rPr>
          <w:rFonts w:ascii="Times New Roman" w:eastAsia="Times New Roman" w:hAnsi="Times New Roman" w:cs="Times New Roman"/>
          <w:sz w:val="24"/>
          <w:szCs w:val="24"/>
        </w:rPr>
        <w:t>, 1-7.</w:t>
      </w:r>
    </w:p>
    <w:p w14:paraId="3FD5CC0C" w14:textId="77777777" w:rsidR="006F502E" w:rsidRDefault="00000000">
      <w:pPr>
        <w:spacing w:after="0" w:line="240" w:lineRule="auto"/>
        <w:jc w:val="both"/>
        <w:rPr>
          <w:rFonts w:ascii="Times New Roman" w:eastAsia="Times New Roman" w:hAnsi="Times New Roman" w:cs="Times New Roman"/>
          <w:sz w:val="24"/>
          <w:szCs w:val="24"/>
        </w:rPr>
      </w:pPr>
      <w:hyperlink r:id="rId9">
        <w:r>
          <w:rPr>
            <w:rFonts w:ascii="Times New Roman" w:eastAsia="Times New Roman" w:hAnsi="Times New Roman" w:cs="Times New Roman"/>
            <w:color w:val="0563C1"/>
            <w:sz w:val="24"/>
            <w:szCs w:val="24"/>
          </w:rPr>
          <w:t>https://doi.org/10.1002/9781405198431.wbeal0718.pub2</w:t>
        </w:r>
      </w:hyperlink>
    </w:p>
    <w:p w14:paraId="0801D0AA" w14:textId="77777777" w:rsidR="006F502E" w:rsidRDefault="006F502E">
      <w:pPr>
        <w:spacing w:after="0" w:line="240" w:lineRule="auto"/>
        <w:jc w:val="both"/>
        <w:rPr>
          <w:rFonts w:ascii="Times New Roman" w:eastAsia="Times New Roman" w:hAnsi="Times New Roman" w:cs="Times New Roman"/>
          <w:sz w:val="24"/>
          <w:szCs w:val="24"/>
        </w:rPr>
      </w:pPr>
    </w:p>
    <w:p w14:paraId="48AEB73D" w14:textId="77777777" w:rsidR="006F502E" w:rsidRDefault="0000000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Prodromou</w:t>
      </w:r>
      <w:proofErr w:type="spellEnd"/>
      <w:r>
        <w:rPr>
          <w:rFonts w:ascii="Times New Roman" w:eastAsia="Times New Roman" w:hAnsi="Times New Roman" w:cs="Times New Roman"/>
          <w:sz w:val="24"/>
          <w:szCs w:val="24"/>
        </w:rPr>
        <w:t>, L. (1988). English as cultural action. </w:t>
      </w:r>
      <w:r>
        <w:rPr>
          <w:rFonts w:ascii="Times New Roman" w:eastAsia="Times New Roman" w:hAnsi="Times New Roman" w:cs="Times New Roman"/>
          <w:i/>
          <w:sz w:val="24"/>
          <w:szCs w:val="24"/>
        </w:rPr>
        <w:t>ELT journal</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42</w:t>
      </w:r>
      <w:r>
        <w:rPr>
          <w:rFonts w:ascii="Times New Roman" w:eastAsia="Times New Roman" w:hAnsi="Times New Roman" w:cs="Times New Roman"/>
          <w:sz w:val="24"/>
          <w:szCs w:val="24"/>
        </w:rPr>
        <w:t>(2), 73-83. https://doi.org/10.1093/elt/42.2.73</w:t>
      </w:r>
    </w:p>
    <w:p w14:paraId="71B882D0" w14:textId="77777777" w:rsidR="006F502E" w:rsidRDefault="006F502E">
      <w:pPr>
        <w:spacing w:after="0" w:line="240" w:lineRule="auto"/>
        <w:jc w:val="both"/>
        <w:rPr>
          <w:rFonts w:ascii="Times New Roman" w:eastAsia="Times New Roman" w:hAnsi="Times New Roman" w:cs="Times New Roman"/>
          <w:sz w:val="24"/>
          <w:szCs w:val="24"/>
        </w:rPr>
      </w:pPr>
    </w:p>
    <w:p w14:paraId="4E7F55BB"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Rathert, S. (2023). Local coursebooks as promoters of teaching for international communication? – A case study. In T. </w:t>
      </w:r>
      <w:proofErr w:type="spellStart"/>
      <w:r>
        <w:rPr>
          <w:rFonts w:ascii="Times New Roman" w:eastAsia="Times New Roman" w:hAnsi="Times New Roman" w:cs="Times New Roman"/>
          <w:sz w:val="24"/>
          <w:szCs w:val="24"/>
        </w:rPr>
        <w:t>Tinnefeld</w:t>
      </w:r>
      <w:proofErr w:type="spellEnd"/>
      <w:r>
        <w:rPr>
          <w:rFonts w:ascii="Times New Roman" w:eastAsia="Times New Roman" w:hAnsi="Times New Roman" w:cs="Times New Roman"/>
          <w:sz w:val="24"/>
          <w:szCs w:val="24"/>
        </w:rPr>
        <w:t xml:space="preserve"> (Ed.). Bridging language boundaries. Explorations in communication across borders (</w:t>
      </w:r>
      <w:proofErr w:type="spellStart"/>
      <w:r>
        <w:rPr>
          <w:rFonts w:ascii="Times New Roman" w:eastAsia="Times New Roman" w:hAnsi="Times New Roman" w:cs="Times New Roman"/>
          <w:sz w:val="24"/>
          <w:szCs w:val="24"/>
        </w:rPr>
        <w:t>Saarbrücken</w:t>
      </w:r>
      <w:proofErr w:type="spellEnd"/>
      <w:r>
        <w:rPr>
          <w:rFonts w:ascii="Times New Roman" w:eastAsia="Times New Roman" w:hAnsi="Times New Roman" w:cs="Times New Roman"/>
          <w:sz w:val="24"/>
          <w:szCs w:val="24"/>
        </w:rPr>
        <w:t xml:space="preserve"> Series on Linguistics and Language Methodology) (pp. 71-87). </w:t>
      </w:r>
      <w:proofErr w:type="spellStart"/>
      <w:r>
        <w:rPr>
          <w:rFonts w:ascii="Times New Roman" w:eastAsia="Times New Roman" w:hAnsi="Times New Roman" w:cs="Times New Roman"/>
          <w:sz w:val="24"/>
          <w:szCs w:val="24"/>
        </w:rPr>
        <w:t>htw</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saar</w:t>
      </w:r>
      <w:proofErr w:type="spellEnd"/>
      <w:r>
        <w:rPr>
          <w:rFonts w:ascii="Times New Roman" w:eastAsia="Times New Roman" w:hAnsi="Times New Roman" w:cs="Times New Roman"/>
          <w:sz w:val="24"/>
          <w:szCs w:val="24"/>
        </w:rPr>
        <w:t>. https://drive.google.com/file/d/1Ya86ard7xy3_F5uqgBEvaoAN-9DJ7g4S/view</w:t>
      </w:r>
    </w:p>
    <w:p w14:paraId="0608BDA1"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185F8309"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Shin, J., Eslami, Z. R., &amp; Chen, W. C. (2011). Presentation of local and international culture in current international English-language teaching textbooks. </w:t>
      </w:r>
      <w:r>
        <w:rPr>
          <w:rFonts w:ascii="Times New Roman" w:eastAsia="Times New Roman" w:hAnsi="Times New Roman" w:cs="Times New Roman"/>
          <w:i/>
          <w:sz w:val="24"/>
          <w:szCs w:val="24"/>
        </w:rPr>
        <w:t>Language, Culture and Curriculum, 24</w:t>
      </w:r>
      <w:r>
        <w:rPr>
          <w:rFonts w:ascii="Times New Roman" w:eastAsia="Times New Roman" w:hAnsi="Times New Roman" w:cs="Times New Roman"/>
          <w:sz w:val="24"/>
          <w:szCs w:val="24"/>
        </w:rPr>
        <w:t>(3), 253-268. https://doi.org/10.1080/07908318.2011.614694</w:t>
      </w:r>
    </w:p>
    <w:p w14:paraId="2332B6EE"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6BA086F3"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Şilit</w:t>
      </w:r>
      <w:proofErr w:type="spellEnd"/>
      <w:r>
        <w:rPr>
          <w:rFonts w:ascii="Times New Roman" w:eastAsia="Times New Roman" w:hAnsi="Times New Roman" w:cs="Times New Roman"/>
          <w:sz w:val="24"/>
          <w:szCs w:val="24"/>
        </w:rPr>
        <w:t xml:space="preserve">, G. (2016). </w:t>
      </w:r>
      <w:r>
        <w:rPr>
          <w:rFonts w:ascii="Times New Roman" w:eastAsia="Times New Roman" w:hAnsi="Times New Roman" w:cs="Times New Roman"/>
          <w:i/>
          <w:sz w:val="24"/>
          <w:szCs w:val="24"/>
        </w:rPr>
        <w:t>Middle school English Net 6 student’s book and workbook.</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Evrensel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İletişim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Yayınları</w:t>
      </w:r>
      <w:proofErr w:type="spellEnd"/>
      <w:r>
        <w:rPr>
          <w:rFonts w:ascii="Times New Roman" w:eastAsia="Times New Roman" w:hAnsi="Times New Roman" w:cs="Times New Roman"/>
          <w:sz w:val="24"/>
          <w:szCs w:val="24"/>
        </w:rPr>
        <w:t>.</w:t>
      </w:r>
    </w:p>
    <w:p w14:paraId="086604DA"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4CD4DA50"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Tomlinson, B. (Ed.). (2008). </w:t>
      </w:r>
      <w:r>
        <w:rPr>
          <w:rFonts w:ascii="Times New Roman" w:eastAsia="Times New Roman" w:hAnsi="Times New Roman" w:cs="Times New Roman"/>
          <w:i/>
          <w:sz w:val="24"/>
          <w:szCs w:val="24"/>
        </w:rPr>
        <w:t>English language learning materials: A critical review</w:t>
      </w:r>
      <w:r>
        <w:rPr>
          <w:rFonts w:ascii="Times New Roman" w:eastAsia="Times New Roman" w:hAnsi="Times New Roman" w:cs="Times New Roman"/>
          <w:sz w:val="24"/>
          <w:szCs w:val="24"/>
        </w:rPr>
        <w:t>. Continuum International Publishing Group.</w:t>
      </w:r>
    </w:p>
    <w:p w14:paraId="1CC814F8"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42D922C5"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Tomlinson, B., &amp; Masuhara, H. (2018). </w:t>
      </w:r>
      <w:r>
        <w:rPr>
          <w:rFonts w:ascii="Times New Roman" w:eastAsia="Times New Roman" w:hAnsi="Times New Roman" w:cs="Times New Roman"/>
          <w:i/>
          <w:sz w:val="24"/>
          <w:szCs w:val="24"/>
        </w:rPr>
        <w:t>The complete guide to the theory and practice of materials development for language learning.</w:t>
      </w:r>
      <w:r>
        <w:rPr>
          <w:rFonts w:ascii="Times New Roman" w:eastAsia="Times New Roman" w:hAnsi="Times New Roman" w:cs="Times New Roman"/>
          <w:sz w:val="24"/>
          <w:szCs w:val="24"/>
        </w:rPr>
        <w:t xml:space="preserve"> Wiley Blackwell.</w:t>
      </w:r>
    </w:p>
    <w:p w14:paraId="1F17ADA5"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6A6D50C1"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Türkan, S., &amp; Çelik, S. (2007). Integrating Culture into EFL Texts and Classrooms: Suggested Lesson Plans. </w:t>
      </w:r>
      <w:proofErr w:type="spellStart"/>
      <w:r>
        <w:rPr>
          <w:rFonts w:ascii="Times New Roman" w:eastAsia="Times New Roman" w:hAnsi="Times New Roman" w:cs="Times New Roman"/>
          <w:i/>
          <w:sz w:val="24"/>
          <w:szCs w:val="24"/>
        </w:rPr>
        <w:t>Novitas</w:t>
      </w:r>
      <w:proofErr w:type="spellEnd"/>
      <w:r>
        <w:rPr>
          <w:rFonts w:ascii="Times New Roman" w:eastAsia="Times New Roman" w:hAnsi="Times New Roman" w:cs="Times New Roman"/>
          <w:i/>
          <w:sz w:val="24"/>
          <w:szCs w:val="24"/>
        </w:rPr>
        <w:t>-ROYAL (Research on Youth and Language),</w:t>
      </w:r>
      <w:r>
        <w:rPr>
          <w:rFonts w:ascii="Times New Roman" w:eastAsia="Times New Roman" w:hAnsi="Times New Roman" w:cs="Times New Roman"/>
          <w:sz w:val="24"/>
          <w:szCs w:val="24"/>
        </w:rPr>
        <w:t xml:space="preserve"> 1(1). https://dergipark.org.tr/tr/download/article-file/111900</w:t>
      </w:r>
    </w:p>
    <w:p w14:paraId="7EBFF6B1"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2567EACD" w14:textId="77777777" w:rsidR="006F502E" w:rsidRDefault="0000000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Tüm</w:t>
      </w:r>
      <w:proofErr w:type="spellEnd"/>
      <w:r>
        <w:rPr>
          <w:rFonts w:ascii="Times New Roman" w:eastAsia="Times New Roman" w:hAnsi="Times New Roman" w:cs="Times New Roman"/>
          <w:sz w:val="24"/>
          <w:szCs w:val="24"/>
        </w:rPr>
        <w:t xml:space="preserve">, G., &amp; Uğuz, S. (2014). An investigation on the cultural elements in a Turkish textbook for foreigners. </w:t>
      </w:r>
      <w:r>
        <w:rPr>
          <w:rFonts w:ascii="Times New Roman" w:eastAsia="Times New Roman" w:hAnsi="Times New Roman" w:cs="Times New Roman"/>
          <w:i/>
          <w:sz w:val="24"/>
          <w:szCs w:val="24"/>
        </w:rPr>
        <w:t xml:space="preserve">Procedia-Social and </w:t>
      </w:r>
      <w:proofErr w:type="spellStart"/>
      <w:r>
        <w:rPr>
          <w:rFonts w:ascii="Times New Roman" w:eastAsia="Times New Roman" w:hAnsi="Times New Roman" w:cs="Times New Roman"/>
          <w:i/>
          <w:sz w:val="24"/>
          <w:szCs w:val="24"/>
        </w:rPr>
        <w:t>Behavioral</w:t>
      </w:r>
      <w:proofErr w:type="spellEnd"/>
      <w:r>
        <w:rPr>
          <w:rFonts w:ascii="Times New Roman" w:eastAsia="Times New Roman" w:hAnsi="Times New Roman" w:cs="Times New Roman"/>
          <w:i/>
          <w:sz w:val="24"/>
          <w:szCs w:val="24"/>
        </w:rPr>
        <w:t xml:space="preserve"> Sciences, 158,</w:t>
      </w:r>
      <w:r>
        <w:rPr>
          <w:rFonts w:ascii="Times New Roman" w:eastAsia="Times New Roman" w:hAnsi="Times New Roman" w:cs="Times New Roman"/>
          <w:sz w:val="24"/>
          <w:szCs w:val="24"/>
        </w:rPr>
        <w:t xml:space="preserve"> 356-363. https://doi.org/10.1016/j.sbspro.2014.12.100</w:t>
      </w:r>
    </w:p>
    <w:p w14:paraId="1EA76FC0" w14:textId="77777777" w:rsidR="006F502E" w:rsidRDefault="006F502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1876D1D9" w14:textId="77777777" w:rsidR="006F502E"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Zhang, X., &amp; Lütge, C. (2023). Home culture and its effects on English as a lingua franca communication: Voices from Chinese students at a United Kingdom university</w:t>
      </w:r>
      <w:r>
        <w:rPr>
          <w:rFonts w:ascii="Times New Roman" w:eastAsia="Times New Roman" w:hAnsi="Times New Roman" w:cs="Times New Roman"/>
          <w:i/>
          <w:sz w:val="24"/>
          <w:szCs w:val="24"/>
        </w:rPr>
        <w:t>. Frontiers in Psychology, 14,</w:t>
      </w:r>
      <w:r>
        <w:rPr>
          <w:rFonts w:ascii="Times New Roman" w:eastAsia="Times New Roman" w:hAnsi="Times New Roman" w:cs="Times New Roman"/>
          <w:sz w:val="24"/>
          <w:szCs w:val="24"/>
        </w:rPr>
        <w:t xml:space="preserve"> 1057315. </w:t>
      </w:r>
      <w:hyperlink r:id="rId10">
        <w:r>
          <w:rPr>
            <w:rFonts w:ascii="Times New Roman" w:eastAsia="Times New Roman" w:hAnsi="Times New Roman" w:cs="Times New Roman"/>
            <w:color w:val="000000"/>
            <w:sz w:val="24"/>
            <w:szCs w:val="24"/>
          </w:rPr>
          <w:t>https://doi.org/10.3389/fpsyg.2023.1057315</w:t>
        </w:r>
      </w:hyperlink>
    </w:p>
    <w:p w14:paraId="215D350B" w14:textId="77777777" w:rsidR="006F502E" w:rsidRDefault="006F502E">
      <w:pPr>
        <w:spacing w:after="0" w:line="240" w:lineRule="auto"/>
        <w:rPr>
          <w:rFonts w:ascii="Times New Roman" w:eastAsia="Times New Roman" w:hAnsi="Times New Roman" w:cs="Times New Roman"/>
          <w:color w:val="000000"/>
          <w:sz w:val="24"/>
          <w:szCs w:val="24"/>
        </w:rPr>
      </w:pPr>
    </w:p>
    <w:p w14:paraId="0FC8BE37" w14:textId="77777777" w:rsidR="006F502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233607F1" w14:textId="77777777" w:rsidR="006F502E" w:rsidRDefault="006F502E">
      <w:pPr>
        <w:spacing w:after="0" w:line="240" w:lineRule="auto"/>
        <w:rPr>
          <w:rFonts w:ascii="Times New Roman" w:eastAsia="Times New Roman" w:hAnsi="Times New Roman" w:cs="Times New Roman"/>
          <w:b/>
          <w:sz w:val="24"/>
          <w:szCs w:val="24"/>
        </w:rPr>
      </w:pPr>
    </w:p>
    <w:p w14:paraId="6ADB78B9" w14:textId="77777777" w:rsidR="006F502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00B338B0" w14:textId="77777777" w:rsidR="006F502E" w:rsidRDefault="006F502E">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76926591" w14:textId="77777777" w:rsidR="006F502E" w:rsidRDefault="006F502E">
      <w:pPr>
        <w:spacing w:after="0" w:line="240" w:lineRule="auto"/>
        <w:rPr>
          <w:rFonts w:ascii="Times New Roman" w:eastAsia="Times New Roman" w:hAnsi="Times New Roman" w:cs="Times New Roman"/>
          <w:sz w:val="24"/>
          <w:szCs w:val="24"/>
        </w:rPr>
      </w:pPr>
    </w:p>
    <w:sectPr w:rsidR="006F502E">
      <w:pgSz w:w="11906" w:h="16838"/>
      <w:pgMar w:top="1418" w:right="1418" w:bottom="1418" w:left="1418"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02E"/>
    <w:rsid w:val="002B1101"/>
    <w:rsid w:val="006F502E"/>
    <w:rsid w:val="00C16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642B2"/>
  <w15:docId w15:val="{5158FD0C-2040-4C9D-B1A2-4D82C76E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ListParagraph">
    <w:name w:val="List Paragraph"/>
    <w:basedOn w:val="Normal"/>
    <w:uiPriority w:val="34"/>
    <w:qFormat/>
    <w:rsid w:val="004941FD"/>
    <w:pPr>
      <w:ind w:left="720"/>
      <w:contextualSpacing/>
    </w:pPr>
  </w:style>
  <w:style w:type="character" w:styleId="Hyperlink">
    <w:name w:val="Hyperlink"/>
    <w:basedOn w:val="DefaultParagraphFont"/>
    <w:uiPriority w:val="99"/>
    <w:unhideWhenUsed/>
    <w:rsid w:val="00BF48D5"/>
    <w:rPr>
      <w:color w:val="0563C1" w:themeColor="hyperlink"/>
      <w:u w:val="single"/>
    </w:rPr>
  </w:style>
  <w:style w:type="paragraph" w:styleId="BalloonText">
    <w:name w:val="Balloon Text"/>
    <w:basedOn w:val="Normal"/>
    <w:link w:val="BalloonTextChar"/>
    <w:uiPriority w:val="99"/>
    <w:semiHidden/>
    <w:unhideWhenUsed/>
    <w:rsid w:val="00914D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DD8"/>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B6294"/>
    <w:rPr>
      <w:b/>
      <w:bCs/>
    </w:rPr>
  </w:style>
  <w:style w:type="character" w:customStyle="1" w:styleId="CommentSubjectChar">
    <w:name w:val="Comment Subject Char"/>
    <w:basedOn w:val="CommentTextChar"/>
    <w:link w:val="CommentSubject"/>
    <w:uiPriority w:val="99"/>
    <w:semiHidden/>
    <w:rsid w:val="00BB6294"/>
    <w:rPr>
      <w:b/>
      <w:bCs/>
      <w:sz w:val="20"/>
      <w:szCs w:val="20"/>
    </w:rPr>
  </w:style>
  <w:style w:type="character" w:customStyle="1" w:styleId="zmlenmeyenBahsetme1">
    <w:name w:val="Çözümlenmeyen Bahsetme1"/>
    <w:basedOn w:val="DefaultParagraphFont"/>
    <w:uiPriority w:val="99"/>
    <w:semiHidden/>
    <w:unhideWhenUsed/>
    <w:rsid w:val="00EC175B"/>
    <w:rPr>
      <w:color w:val="605E5C"/>
      <w:shd w:val="clear" w:color="auto" w:fill="E1DFDD"/>
    </w:rPr>
  </w:style>
  <w:style w:type="character" w:customStyle="1" w:styleId="UnresolvedMention1">
    <w:name w:val="Unresolved Mention1"/>
    <w:basedOn w:val="DefaultParagraphFont"/>
    <w:uiPriority w:val="99"/>
    <w:semiHidden/>
    <w:unhideWhenUsed/>
    <w:rsid w:val="00CC4D25"/>
    <w:rPr>
      <w:color w:val="605E5C"/>
      <w:shd w:val="clear" w:color="auto" w:fill="E1DFDD"/>
    </w:rPr>
  </w:style>
  <w:style w:type="character" w:styleId="FollowedHyperlink">
    <w:name w:val="FollowedHyperlink"/>
    <w:basedOn w:val="DefaultParagraphFont"/>
    <w:uiPriority w:val="99"/>
    <w:semiHidden/>
    <w:unhideWhenUsed/>
    <w:rsid w:val="00845F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 TargetMode="External"/><Relationship Id="rId3" Type="http://schemas.openxmlformats.org/officeDocument/2006/relationships/settings" Target="settings.xml"/><Relationship Id="rId7" Type="http://schemas.openxmlformats.org/officeDocument/2006/relationships/hyperlink" Target="https://doi.org/10.1007/s10780-021-0944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ergipark.org.tr/tr/download/article-file/111854" TargetMode="Externa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s://doi.org/10.3389/fpsyg.2023.1057315" TargetMode="External"/><Relationship Id="rId4" Type="http://schemas.openxmlformats.org/officeDocument/2006/relationships/webSettings" Target="webSettings.xml"/><Relationship Id="rId9" Type="http://schemas.openxmlformats.org/officeDocument/2006/relationships/hyperlink" Target="https://doi.org/10.1002/9781405198431.wbeal0718.pub2"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sz="1600"/>
            </a:pPr>
            <a:r>
              <a:rPr lang="tr-TR"/>
              <a:t>English Net and Lighthouse</a:t>
            </a:r>
          </a:p>
        </c:rich>
      </c:tx>
      <c:layout>
        <c:manualLayout>
          <c:xMode val="edge"/>
          <c:yMode val="edge"/>
          <c:x val="0.23689910195456948"/>
          <c:y val="2.9940119760479042E-2"/>
        </c:manualLayout>
      </c:layout>
      <c:overlay val="0"/>
    </c:title>
    <c:autoTitleDeleted val="0"/>
    <c:plotArea>
      <c:layout>
        <c:manualLayout>
          <c:layoutTarget val="inner"/>
          <c:xMode val="edge"/>
          <c:yMode val="edge"/>
          <c:x val="0.13344739500685623"/>
          <c:y val="0.20735200782828975"/>
          <c:w val="0.65679519286450228"/>
          <c:h val="0.6994928073015263"/>
        </c:manualLayout>
      </c:layout>
      <c:barChart>
        <c:barDir val="col"/>
        <c:grouping val="clustered"/>
        <c:varyColors val="1"/>
        <c:ser>
          <c:idx val="0"/>
          <c:order val="0"/>
          <c:tx>
            <c:strRef>
              <c:f>Sayfa1!$G$1</c:f>
              <c:strCache>
                <c:ptCount val="1"/>
                <c:pt idx="0">
                  <c:v>English Net </c:v>
                </c:pt>
              </c:strCache>
            </c:strRef>
          </c:tx>
          <c:spPr>
            <a:solidFill>
              <a:srgbClr val="3366CC"/>
            </a:solidFill>
          </c:spPr>
          <c:invertIfNegative val="1"/>
          <c:cat>
            <c:strRef>
              <c:f>Sayfa1!$F$2:$F$4</c:f>
              <c:strCache>
                <c:ptCount val="3"/>
                <c:pt idx="0">
                  <c:v>Source</c:v>
                </c:pt>
                <c:pt idx="1">
                  <c:v>Target</c:v>
                </c:pt>
                <c:pt idx="2">
                  <c:v>International</c:v>
                </c:pt>
              </c:strCache>
            </c:strRef>
          </c:cat>
          <c:val>
            <c:numRef>
              <c:f>Sayfa1!$G$2:$G$4</c:f>
              <c:numCache>
                <c:formatCode>General</c:formatCode>
                <c:ptCount val="3"/>
                <c:pt idx="0">
                  <c:v>29.67</c:v>
                </c:pt>
                <c:pt idx="1">
                  <c:v>40.49</c:v>
                </c:pt>
                <c:pt idx="2">
                  <c:v>30.24</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 xmlns:c16="http://schemas.microsoft.com/office/drawing/2014/chart" uri="{C3380CC4-5D6E-409C-BE32-E72D297353CC}">
              <c16:uniqueId val="{00000000-C313-4B0A-85B7-534859823311}"/>
            </c:ext>
          </c:extLst>
        </c:ser>
        <c:ser>
          <c:idx val="1"/>
          <c:order val="1"/>
          <c:tx>
            <c:strRef>
              <c:f>Sayfa1!$H$1</c:f>
              <c:strCache>
                <c:ptCount val="1"/>
                <c:pt idx="0">
                  <c:v>Lighthouse</c:v>
                </c:pt>
              </c:strCache>
            </c:strRef>
          </c:tx>
          <c:spPr>
            <a:solidFill>
              <a:srgbClr val="DC3912"/>
            </a:solidFill>
          </c:spPr>
          <c:invertIfNegative val="1"/>
          <c:cat>
            <c:strRef>
              <c:f>Sayfa1!$F$2:$F$4</c:f>
              <c:strCache>
                <c:ptCount val="3"/>
                <c:pt idx="0">
                  <c:v>Source</c:v>
                </c:pt>
                <c:pt idx="1">
                  <c:v>Target</c:v>
                </c:pt>
                <c:pt idx="2">
                  <c:v>International</c:v>
                </c:pt>
              </c:strCache>
            </c:strRef>
          </c:cat>
          <c:val>
            <c:numRef>
              <c:f>Sayfa1!$H$2:$H$4</c:f>
              <c:numCache>
                <c:formatCode>General</c:formatCode>
                <c:ptCount val="3"/>
                <c:pt idx="0">
                  <c:v>13.24</c:v>
                </c:pt>
                <c:pt idx="1">
                  <c:v>77.63</c:v>
                </c:pt>
                <c:pt idx="2">
                  <c:v>9.1300000000000008</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 xmlns:c16="http://schemas.microsoft.com/office/drawing/2014/chart" uri="{C3380CC4-5D6E-409C-BE32-E72D297353CC}">
              <c16:uniqueId val="{00000001-C313-4B0A-85B7-534859823311}"/>
            </c:ext>
          </c:extLst>
        </c:ser>
        <c:dLbls>
          <c:showLegendKey val="0"/>
          <c:showVal val="0"/>
          <c:showCatName val="0"/>
          <c:showSerName val="0"/>
          <c:showPercent val="0"/>
          <c:showBubbleSize val="0"/>
        </c:dLbls>
        <c:gapWidth val="150"/>
        <c:axId val="-902130000"/>
        <c:axId val="-902132720"/>
      </c:barChart>
      <c:catAx>
        <c:axId val="-902130000"/>
        <c:scaling>
          <c:orientation val="minMax"/>
        </c:scaling>
        <c:delete val="0"/>
        <c:axPos val="b"/>
        <c:numFmt formatCode="General" sourceLinked="1"/>
        <c:majorTickMark val="cross"/>
        <c:minorTickMark val="cross"/>
        <c:tickLblPos val="nextTo"/>
        <c:txPr>
          <a:bodyPr/>
          <a:lstStyle/>
          <a:p>
            <a:pPr lvl="0">
              <a:defRPr/>
            </a:pPr>
            <a:endParaRPr lang="en-US"/>
          </a:p>
        </c:txPr>
        <c:crossAx val="-902132720"/>
        <c:crosses val="autoZero"/>
        <c:auto val="1"/>
        <c:lblAlgn val="ctr"/>
        <c:lblOffset val="100"/>
        <c:noMultiLvlLbl val="1"/>
      </c:catAx>
      <c:valAx>
        <c:axId val="-902132720"/>
        <c:scaling>
          <c:orientation val="minMax"/>
        </c:scaling>
        <c:delete val="0"/>
        <c:axPos val="l"/>
        <c:majorGridlines>
          <c:spPr>
            <a:ln>
              <a:solidFill>
                <a:srgbClr val="B7B7B7"/>
              </a:solidFill>
            </a:ln>
          </c:spPr>
        </c:majorGridlines>
        <c:numFmt formatCode="General" sourceLinked="1"/>
        <c:majorTickMark val="cross"/>
        <c:minorTickMark val="cross"/>
        <c:tickLblPos val="nextTo"/>
        <c:spPr>
          <a:ln w="47625">
            <a:noFill/>
          </a:ln>
        </c:spPr>
        <c:txPr>
          <a:bodyPr/>
          <a:lstStyle/>
          <a:p>
            <a:pPr lvl="0">
              <a:defRPr/>
            </a:pPr>
            <a:endParaRPr lang="en-US"/>
          </a:p>
        </c:txPr>
        <c:crossAx val="-902130000"/>
        <c:crosses val="autoZero"/>
        <c:crossBetween val="between"/>
      </c:valAx>
    </c:plotArea>
    <c:legend>
      <c:legendPos val="r"/>
      <c:overlay val="0"/>
    </c:legend>
    <c:plotVisOnly val="1"/>
    <c:dispBlanksAs val="zero"/>
    <c:showDLblsOverMax val="1"/>
  </c:chart>
  <c:externalData r:id="rId1">
    <c:autoUpdate val="0"/>
  </c:externalData>
</c:chartSpac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8CsptP1IpWpglmCMdJC0zacIKQ==">CgMxLjAyCGguZ2pkZ3hzMgloLjMwajB6bGwyCWguMWZvYjl0ZTgAciExa2Fmc3lwRHpKNkp2d1lHVk9pcmsxUjk1RW5JWU5nMHc=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4472</Words>
  <Characters>25491</Characters>
  <Application>Microsoft Office Word</Application>
  <DocSecurity>0</DocSecurity>
  <Lines>212</Lines>
  <Paragraphs>59</Paragraphs>
  <ScaleCrop>false</ScaleCrop>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Packard Bell</dc:creator>
  <cp:lastModifiedBy>Hanna Kryszewska</cp:lastModifiedBy>
  <cp:revision>2</cp:revision>
  <dcterms:created xsi:type="dcterms:W3CDTF">2024-08-17T19:37:00Z</dcterms:created>
  <dcterms:modified xsi:type="dcterms:W3CDTF">2024-08-17T19:37:00Z</dcterms:modified>
</cp:coreProperties>
</file>